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方正小标宋简体" w:hAnsi="方正小标宋简体" w:eastAsia="方正小标宋简体" w:cs="方正小标宋简体"/>
          <w:i w:val="0"/>
          <w:caps w:val="0"/>
          <w:color w:val="333333"/>
          <w:spacing w:val="0"/>
          <w:sz w:val="52"/>
          <w:szCs w:val="5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i w:val="0"/>
          <w:caps w:val="0"/>
          <w:color w:val="333333"/>
          <w:spacing w:val="0"/>
          <w:sz w:val="60"/>
          <w:szCs w:val="60"/>
          <w:lang w:val="en-US" w:eastAsia="zh-CN"/>
        </w:rPr>
      </w:pPr>
      <w:r>
        <w:rPr>
          <w:rFonts w:hint="eastAsia" w:ascii="方正小标宋简体" w:hAnsi="方正小标宋简体" w:eastAsia="方正小标宋简体" w:cs="方正小标宋简体"/>
          <w:i w:val="0"/>
          <w:caps w:val="0"/>
          <w:color w:val="333333"/>
          <w:spacing w:val="0"/>
          <w:sz w:val="60"/>
          <w:szCs w:val="60"/>
          <w:lang w:val="en-US" w:eastAsia="zh-CN"/>
        </w:rPr>
        <w:t>咸宁市农业农村局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小标宋简体" w:hAnsi="方正小标宋简体" w:eastAsia="方正小标宋简体" w:cs="方正小标宋简体"/>
          <w:i w:val="0"/>
          <w:caps w:val="0"/>
          <w:color w:val="333333"/>
          <w:spacing w:val="0"/>
          <w:sz w:val="40"/>
          <w:szCs w:val="40"/>
          <w:lang w:val="en-US" w:eastAsia="zh-CN"/>
        </w:rPr>
      </w:pPr>
      <w:r>
        <w:rPr>
          <w:rFonts w:hint="eastAsia" w:ascii="方正小标宋简体" w:hAnsi="方正小标宋简体" w:eastAsia="方正小标宋简体" w:cs="方正小标宋简体"/>
          <w:i w:val="0"/>
          <w:caps w:val="0"/>
          <w:color w:val="333333"/>
          <w:spacing w:val="0"/>
          <w:sz w:val="60"/>
          <w:szCs w:val="60"/>
          <w:lang w:val="en-US" w:eastAsia="zh-CN"/>
        </w:rPr>
        <w:t>2025年部门预算公开情况说明</w:t>
      </w:r>
    </w:p>
    <w:sdt>
      <w:sdtPr>
        <w:rPr>
          <w:rFonts w:ascii="宋体" w:hAnsi="宋体" w:eastAsia="宋体" w:cstheme="minorBidi"/>
          <w:kern w:val="2"/>
          <w:sz w:val="21"/>
          <w:szCs w:val="24"/>
          <w:lang w:val="en-US" w:eastAsia="zh-CN" w:bidi="ar-SA"/>
        </w:rPr>
        <w:id w:val="147460084"/>
        <w15:color w:val="DBDBDB"/>
        <w:docPartObj>
          <w:docPartGallery w:val="Table of Contents"/>
          <w:docPartUnique/>
        </w:docPartObj>
      </w:sdtPr>
      <w:sdtEndPr>
        <w:rPr>
          <w:rFonts w:hint="eastAsia" w:ascii="黑体" w:hAnsi="黑体" w:eastAsia="黑体" w:cs="黑体"/>
          <w:b/>
          <w:i w:val="0"/>
          <w:caps w:val="0"/>
          <w:color w:val="333333"/>
          <w:spacing w:val="0"/>
          <w:kern w:val="0"/>
          <w:sz w:val="24"/>
          <w:szCs w:val="27"/>
          <w:lang w:val="en-US" w:eastAsia="zh-CN" w:bidi="ar"/>
        </w:rPr>
      </w:sdtEndPr>
      <w:sdtContent>
        <w:p>
          <w:pPr>
            <w:spacing w:before="0" w:beforeLines="0" w:after="0" w:afterLines="0" w:line="240" w:lineRule="auto"/>
            <w:ind w:left="0" w:leftChars="0" w:right="0" w:rightChars="0" w:firstLine="0" w:firstLineChars="0"/>
            <w:jc w:val="center"/>
            <w:rPr>
              <w:sz w:val="36"/>
              <w:szCs w:val="44"/>
            </w:rPr>
          </w:pPr>
          <w:r>
            <w:rPr>
              <w:rFonts w:ascii="宋体" w:hAnsi="宋体" w:eastAsia="宋体"/>
              <w:sz w:val="72"/>
              <w:szCs w:val="112"/>
            </w:rPr>
            <w:t>目录</w:t>
          </w:r>
        </w:p>
        <w:p>
          <w:pPr>
            <w:pStyle w:val="14"/>
            <w:tabs>
              <w:tab w:val="right" w:leader="dot" w:pos="8306"/>
            </w:tabs>
            <w:rPr>
              <w:b/>
              <w:sz w:val="32"/>
              <w:szCs w:val="32"/>
            </w:rPr>
          </w:pPr>
          <w:r>
            <w:rPr>
              <w:rFonts w:hint="eastAsia" w:ascii="黑体" w:hAnsi="黑体" w:eastAsia="黑体" w:cs="黑体"/>
              <w:i w:val="0"/>
              <w:caps w:val="0"/>
              <w:color w:val="333333"/>
              <w:spacing w:val="0"/>
              <w:kern w:val="0"/>
              <w:sz w:val="44"/>
              <w:szCs w:val="44"/>
              <w:lang w:val="en-US" w:eastAsia="zh-CN" w:bidi="ar"/>
            </w:rPr>
            <w:fldChar w:fldCharType="begin"/>
          </w:r>
          <w:r>
            <w:rPr>
              <w:rFonts w:hint="eastAsia" w:ascii="黑体" w:hAnsi="黑体" w:eastAsia="黑体" w:cs="黑体"/>
              <w:i w:val="0"/>
              <w:caps w:val="0"/>
              <w:color w:val="333333"/>
              <w:spacing w:val="0"/>
              <w:kern w:val="0"/>
              <w:sz w:val="44"/>
              <w:szCs w:val="44"/>
              <w:lang w:val="en-US" w:eastAsia="zh-CN" w:bidi="ar"/>
            </w:rPr>
            <w:instrText xml:space="preserve">TOC \o "1-2" \h \u </w:instrText>
          </w:r>
          <w:r>
            <w:rPr>
              <w:rFonts w:hint="eastAsia" w:ascii="黑体" w:hAnsi="黑体" w:eastAsia="黑体" w:cs="黑体"/>
              <w:i w:val="0"/>
              <w:caps w:val="0"/>
              <w:color w:val="333333"/>
              <w:spacing w:val="0"/>
              <w:kern w:val="0"/>
              <w:sz w:val="44"/>
              <w:szCs w:val="44"/>
              <w:lang w:val="en-US" w:eastAsia="zh-CN" w:bidi="ar"/>
            </w:rPr>
            <w:fldChar w:fldCharType="separate"/>
          </w: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_Toc16979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第一部分 单位概况</w:t>
          </w:r>
          <w:r>
            <w:rPr>
              <w:b/>
              <w:sz w:val="32"/>
              <w:szCs w:val="32"/>
            </w:rPr>
            <w:tab/>
          </w:r>
          <w:r>
            <w:rPr>
              <w:b/>
              <w:sz w:val="32"/>
              <w:szCs w:val="32"/>
            </w:rPr>
            <w:fldChar w:fldCharType="begin"/>
          </w:r>
          <w:r>
            <w:rPr>
              <w:b/>
              <w:sz w:val="32"/>
              <w:szCs w:val="32"/>
            </w:rPr>
            <w:instrText xml:space="preserve"> PAGEREF _Toc16979 \h </w:instrText>
          </w:r>
          <w:r>
            <w:rPr>
              <w:b/>
              <w:sz w:val="32"/>
              <w:szCs w:val="32"/>
            </w:rPr>
            <w:fldChar w:fldCharType="separate"/>
          </w:r>
          <w:r>
            <w:rPr>
              <w:b/>
              <w:sz w:val="32"/>
              <w:szCs w:val="32"/>
            </w:rPr>
            <w:t>2</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_Toc24345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kern w:val="0"/>
              <w:sz w:val="32"/>
              <w:szCs w:val="52"/>
              <w:lang w:val="en-US" w:eastAsia="zh-CN" w:bidi="ar"/>
            </w:rPr>
            <w:t>（一）主要职能</w:t>
          </w:r>
          <w:r>
            <w:rPr>
              <w:sz w:val="32"/>
              <w:szCs w:val="32"/>
            </w:rPr>
            <w:tab/>
          </w:r>
          <w:r>
            <w:rPr>
              <w:sz w:val="32"/>
              <w:szCs w:val="32"/>
            </w:rPr>
            <w:fldChar w:fldCharType="begin"/>
          </w:r>
          <w:r>
            <w:rPr>
              <w:sz w:val="32"/>
              <w:szCs w:val="32"/>
            </w:rPr>
            <w:instrText xml:space="preserve"> PAGEREF _Toc24345 \h </w:instrText>
          </w:r>
          <w:r>
            <w:rPr>
              <w:sz w:val="32"/>
              <w:szCs w:val="32"/>
            </w:rPr>
            <w:fldChar w:fldCharType="separate"/>
          </w:r>
          <w:r>
            <w:rPr>
              <w:sz w:val="32"/>
              <w:szCs w:val="32"/>
            </w:rPr>
            <w:t>2</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_Toc1601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kern w:val="0"/>
              <w:sz w:val="32"/>
              <w:szCs w:val="52"/>
              <w:lang w:val="en-US" w:eastAsia="zh-CN" w:bidi="ar"/>
            </w:rPr>
            <w:t>（二）机构设置</w:t>
          </w:r>
          <w:r>
            <w:rPr>
              <w:sz w:val="32"/>
              <w:szCs w:val="32"/>
            </w:rPr>
            <w:tab/>
          </w:r>
          <w:r>
            <w:rPr>
              <w:sz w:val="32"/>
              <w:szCs w:val="32"/>
            </w:rPr>
            <w:fldChar w:fldCharType="begin"/>
          </w:r>
          <w:r>
            <w:rPr>
              <w:sz w:val="32"/>
              <w:szCs w:val="32"/>
            </w:rPr>
            <w:instrText xml:space="preserve"> PAGEREF _Toc1601 \h </w:instrText>
          </w:r>
          <w:r>
            <w:rPr>
              <w:sz w:val="32"/>
              <w:szCs w:val="32"/>
            </w:rPr>
            <w:fldChar w:fldCharType="separate"/>
          </w:r>
          <w:r>
            <w:rPr>
              <w:sz w:val="32"/>
              <w:szCs w:val="32"/>
            </w:rPr>
            <w:t>5</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_Toc10124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kern w:val="0"/>
              <w:sz w:val="32"/>
              <w:szCs w:val="52"/>
              <w:lang w:val="en-US" w:eastAsia="zh-CN" w:bidi="ar"/>
            </w:rPr>
            <w:t>（三）年度主要工作任务及目标</w:t>
          </w:r>
          <w:r>
            <w:rPr>
              <w:sz w:val="32"/>
              <w:szCs w:val="32"/>
            </w:rPr>
            <w:tab/>
          </w:r>
          <w:r>
            <w:rPr>
              <w:sz w:val="32"/>
              <w:szCs w:val="32"/>
            </w:rPr>
            <w:fldChar w:fldCharType="begin"/>
          </w:r>
          <w:r>
            <w:rPr>
              <w:sz w:val="32"/>
              <w:szCs w:val="32"/>
            </w:rPr>
            <w:instrText xml:space="preserve"> PAGEREF _Toc10124 \h </w:instrText>
          </w:r>
          <w:r>
            <w:rPr>
              <w:sz w:val="32"/>
              <w:szCs w:val="32"/>
            </w:rPr>
            <w:fldChar w:fldCharType="separate"/>
          </w:r>
          <w:r>
            <w:rPr>
              <w:sz w:val="32"/>
              <w:szCs w:val="32"/>
            </w:rPr>
            <w:t>6</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4"/>
            <w:tabs>
              <w:tab w:val="right" w:leader="dot" w:pos="8306"/>
            </w:tabs>
            <w:rPr>
              <w:b/>
              <w:sz w:val="32"/>
              <w:szCs w:val="32"/>
            </w:rPr>
          </w:pP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_Toc28969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第二部分 2025年部门预算表</w:t>
          </w:r>
          <w:r>
            <w:rPr>
              <w:b/>
              <w:sz w:val="32"/>
              <w:szCs w:val="32"/>
            </w:rPr>
            <w:tab/>
          </w:r>
          <w:r>
            <w:rPr>
              <w:b/>
              <w:sz w:val="32"/>
              <w:szCs w:val="32"/>
            </w:rPr>
            <w:fldChar w:fldCharType="begin"/>
          </w:r>
          <w:r>
            <w:rPr>
              <w:b/>
              <w:sz w:val="32"/>
              <w:szCs w:val="32"/>
            </w:rPr>
            <w:instrText xml:space="preserve"> PAGEREF _Toc28969 \h </w:instrText>
          </w:r>
          <w:r>
            <w:rPr>
              <w:b/>
              <w:sz w:val="32"/>
              <w:szCs w:val="32"/>
            </w:rPr>
            <w:fldChar w:fldCharType="separate"/>
          </w:r>
          <w:r>
            <w:rPr>
              <w:b/>
              <w:sz w:val="32"/>
              <w:szCs w:val="32"/>
            </w:rPr>
            <w:t>8</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4"/>
            <w:tabs>
              <w:tab w:val="right" w:leader="dot" w:pos="8306"/>
            </w:tabs>
            <w:rPr>
              <w:b/>
              <w:sz w:val="32"/>
              <w:szCs w:val="32"/>
            </w:rPr>
          </w:pP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_Toc7822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第三部分 2025年部门预算编制情况及说明</w:t>
          </w:r>
          <w:r>
            <w:rPr>
              <w:b/>
              <w:sz w:val="32"/>
              <w:szCs w:val="32"/>
            </w:rPr>
            <w:tab/>
          </w:r>
          <w:r>
            <w:rPr>
              <w:b/>
              <w:sz w:val="32"/>
              <w:szCs w:val="32"/>
            </w:rPr>
            <w:fldChar w:fldCharType="begin"/>
          </w:r>
          <w:r>
            <w:rPr>
              <w:b/>
              <w:sz w:val="32"/>
              <w:szCs w:val="32"/>
            </w:rPr>
            <w:instrText xml:space="preserve"> PAGEREF _Toc7822 \h </w:instrText>
          </w:r>
          <w:r>
            <w:rPr>
              <w:b/>
              <w:sz w:val="32"/>
              <w:szCs w:val="32"/>
            </w:rPr>
            <w:fldChar w:fldCharType="separate"/>
          </w:r>
          <w:r>
            <w:rPr>
              <w:b/>
              <w:sz w:val="32"/>
              <w:szCs w:val="32"/>
            </w:rPr>
            <w:t>8</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_Toc628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（一）预算收支安排及增减变化情况说明</w:t>
          </w:r>
          <w:r>
            <w:rPr>
              <w:sz w:val="32"/>
              <w:szCs w:val="32"/>
            </w:rPr>
            <w:tab/>
          </w:r>
          <w:r>
            <w:rPr>
              <w:sz w:val="32"/>
              <w:szCs w:val="32"/>
            </w:rPr>
            <w:fldChar w:fldCharType="begin"/>
          </w:r>
          <w:r>
            <w:rPr>
              <w:sz w:val="32"/>
              <w:szCs w:val="32"/>
            </w:rPr>
            <w:instrText xml:space="preserve"> PAGEREF _Toc628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_Toc26606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（二）机关运行经费安排及增减变化情况说明</w:t>
          </w:r>
          <w:r>
            <w:rPr>
              <w:sz w:val="32"/>
              <w:szCs w:val="32"/>
            </w:rPr>
            <w:tab/>
          </w:r>
          <w:r>
            <w:rPr>
              <w:sz w:val="32"/>
              <w:szCs w:val="32"/>
            </w:rPr>
            <w:fldChar w:fldCharType="begin"/>
          </w:r>
          <w:r>
            <w:rPr>
              <w:sz w:val="32"/>
              <w:szCs w:val="32"/>
            </w:rPr>
            <w:instrText xml:space="preserve"> PAGEREF _Toc26606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_Toc17324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（三） “三公”经费安排及增减变化情况说明</w:t>
          </w:r>
          <w:r>
            <w:rPr>
              <w:sz w:val="32"/>
              <w:szCs w:val="32"/>
            </w:rPr>
            <w:tab/>
          </w:r>
          <w:r>
            <w:rPr>
              <w:sz w:val="32"/>
              <w:szCs w:val="32"/>
            </w:rPr>
            <w:fldChar w:fldCharType="begin"/>
          </w:r>
          <w:r>
            <w:rPr>
              <w:sz w:val="32"/>
              <w:szCs w:val="32"/>
            </w:rPr>
            <w:instrText xml:space="preserve"> PAGEREF _Toc17324 \h </w:instrText>
          </w:r>
          <w:r>
            <w:rPr>
              <w:sz w:val="32"/>
              <w:szCs w:val="32"/>
            </w:rPr>
            <w:fldChar w:fldCharType="separate"/>
          </w:r>
          <w:r>
            <w:rPr>
              <w:sz w:val="32"/>
              <w:szCs w:val="32"/>
            </w:rPr>
            <w:t>10</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_Toc3295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（四）政府采购预算安排及增减变化情况说明</w:t>
          </w:r>
          <w:r>
            <w:rPr>
              <w:sz w:val="32"/>
              <w:szCs w:val="32"/>
            </w:rPr>
            <w:tab/>
          </w:r>
          <w:r>
            <w:rPr>
              <w:sz w:val="32"/>
              <w:szCs w:val="32"/>
            </w:rPr>
            <w:fldChar w:fldCharType="begin"/>
          </w:r>
          <w:r>
            <w:rPr>
              <w:sz w:val="32"/>
              <w:szCs w:val="32"/>
            </w:rPr>
            <w:instrText xml:space="preserve"> PAGEREF _Toc3295 \h </w:instrText>
          </w:r>
          <w:r>
            <w:rPr>
              <w:sz w:val="32"/>
              <w:szCs w:val="32"/>
            </w:rPr>
            <w:fldChar w:fldCharType="separate"/>
          </w:r>
          <w:r>
            <w:rPr>
              <w:sz w:val="32"/>
              <w:szCs w:val="32"/>
            </w:rPr>
            <w:t>10</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_Toc22830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（五）国有资产占用及增减变化情况说明</w:t>
          </w:r>
          <w:r>
            <w:rPr>
              <w:sz w:val="32"/>
              <w:szCs w:val="32"/>
            </w:rPr>
            <w:tab/>
          </w:r>
          <w:r>
            <w:rPr>
              <w:sz w:val="32"/>
              <w:szCs w:val="32"/>
            </w:rPr>
            <w:fldChar w:fldCharType="begin"/>
          </w:r>
          <w:r>
            <w:rPr>
              <w:sz w:val="32"/>
              <w:szCs w:val="32"/>
            </w:rPr>
            <w:instrText xml:space="preserve"> PAGEREF _Toc22830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_Toc1275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（六）政府购买服务安排及增减变化情况说明</w:t>
          </w:r>
          <w:r>
            <w:rPr>
              <w:sz w:val="32"/>
              <w:szCs w:val="32"/>
            </w:rPr>
            <w:tab/>
          </w:r>
          <w:r>
            <w:rPr>
              <w:sz w:val="32"/>
              <w:szCs w:val="32"/>
            </w:rPr>
            <w:fldChar w:fldCharType="begin"/>
          </w:r>
          <w:r>
            <w:rPr>
              <w:sz w:val="32"/>
              <w:szCs w:val="32"/>
            </w:rPr>
            <w:instrText xml:space="preserve"> PAGEREF _Toc1275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_Toc30232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（七）政府性基金预算支出情况说明</w:t>
          </w:r>
          <w:r>
            <w:rPr>
              <w:sz w:val="32"/>
              <w:szCs w:val="32"/>
            </w:rPr>
            <w:tab/>
          </w:r>
          <w:r>
            <w:rPr>
              <w:sz w:val="32"/>
              <w:szCs w:val="32"/>
            </w:rPr>
            <w:fldChar w:fldCharType="begin"/>
          </w:r>
          <w:r>
            <w:rPr>
              <w:sz w:val="32"/>
              <w:szCs w:val="32"/>
            </w:rPr>
            <w:instrText xml:space="preserve"> PAGEREF _Toc30232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5"/>
            <w:tabs>
              <w:tab w:val="right" w:leader="dot" w:pos="8306"/>
            </w:tabs>
            <w:rPr>
              <w:sz w:val="32"/>
              <w:szCs w:val="32"/>
            </w:rPr>
          </w:pPr>
          <w:r>
            <w:rPr>
              <w:rFonts w:hint="eastAsia" w:ascii="黑体" w:hAnsi="黑体" w:eastAsia="黑体" w:cs="黑体"/>
              <w:i w:val="0"/>
              <w:caps w:val="0"/>
              <w:color w:val="333333"/>
              <w:spacing w:val="0"/>
              <w:kern w:val="0"/>
              <w:sz w:val="32"/>
              <w:szCs w:val="44"/>
              <w:lang w:val="en-US" w:eastAsia="zh-CN" w:bidi="ar"/>
            </w:rPr>
            <w:fldChar w:fldCharType="begin"/>
          </w:r>
          <w:r>
            <w:rPr>
              <w:rFonts w:hint="eastAsia" w:ascii="黑体" w:hAnsi="黑体" w:eastAsia="黑体" w:cs="黑体"/>
              <w:i w:val="0"/>
              <w:caps w:val="0"/>
              <w:spacing w:val="0"/>
              <w:kern w:val="0"/>
              <w:sz w:val="32"/>
              <w:szCs w:val="44"/>
              <w:lang w:val="en-US" w:eastAsia="zh-CN" w:bidi="ar"/>
            </w:rPr>
            <w:instrText xml:space="preserve"> HYPERLINK \l _Toc4394 </w:instrText>
          </w:r>
          <w:r>
            <w:rPr>
              <w:rFonts w:hint="eastAsia" w:ascii="黑体" w:hAnsi="黑体" w:eastAsia="黑体" w:cs="黑体"/>
              <w:i w:val="0"/>
              <w:caps w:val="0"/>
              <w:spacing w:val="0"/>
              <w:kern w:val="0"/>
              <w:sz w:val="32"/>
              <w:szCs w:val="44"/>
              <w:lang w:val="en-US" w:eastAsia="zh-CN" w:bidi="ar"/>
            </w:rPr>
            <w:fldChar w:fldCharType="separate"/>
          </w:r>
          <w:r>
            <w:rPr>
              <w:rFonts w:hint="eastAsia" w:ascii="微软雅黑" w:hAnsi="微软雅黑" w:eastAsia="微软雅黑" w:cs="微软雅黑"/>
              <w:i w:val="0"/>
              <w:caps w:val="0"/>
              <w:spacing w:val="0"/>
              <w:sz w:val="32"/>
              <w:szCs w:val="52"/>
              <w:lang w:eastAsia="zh-CN"/>
            </w:rPr>
            <w:t>（八）2025年部门预算绩效情况说明</w:t>
          </w:r>
          <w:r>
            <w:rPr>
              <w:sz w:val="32"/>
              <w:szCs w:val="32"/>
            </w:rPr>
            <w:tab/>
          </w:r>
          <w:r>
            <w:rPr>
              <w:sz w:val="32"/>
              <w:szCs w:val="32"/>
            </w:rPr>
            <w:fldChar w:fldCharType="begin"/>
          </w:r>
          <w:r>
            <w:rPr>
              <w:sz w:val="32"/>
              <w:szCs w:val="32"/>
            </w:rPr>
            <w:instrText xml:space="preserve"> PAGEREF _Toc4394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i w:val="0"/>
              <w:caps w:val="0"/>
              <w:color w:val="333333"/>
              <w:spacing w:val="0"/>
              <w:kern w:val="0"/>
              <w:sz w:val="32"/>
              <w:szCs w:val="44"/>
              <w:lang w:val="en-US" w:eastAsia="zh-CN" w:bidi="ar"/>
            </w:rPr>
            <w:fldChar w:fldCharType="end"/>
          </w:r>
        </w:p>
        <w:p>
          <w:pPr>
            <w:pStyle w:val="14"/>
            <w:tabs>
              <w:tab w:val="right" w:leader="dot" w:pos="8306"/>
            </w:tabs>
            <w:rPr>
              <w:b/>
              <w:sz w:val="32"/>
              <w:szCs w:val="32"/>
            </w:rPr>
          </w:pPr>
          <w:r>
            <w:rPr>
              <w:rFonts w:hint="eastAsia" w:ascii="黑体" w:hAnsi="黑体" w:eastAsia="黑体" w:cs="黑体"/>
              <w:b/>
              <w:i w:val="0"/>
              <w:caps w:val="0"/>
              <w:color w:val="333333"/>
              <w:spacing w:val="0"/>
              <w:kern w:val="0"/>
              <w:sz w:val="32"/>
              <w:szCs w:val="44"/>
              <w:lang w:val="en-US" w:eastAsia="zh-CN" w:bidi="ar"/>
            </w:rPr>
            <w:fldChar w:fldCharType="begin"/>
          </w:r>
          <w:r>
            <w:rPr>
              <w:rFonts w:hint="eastAsia" w:ascii="黑体" w:hAnsi="黑体" w:eastAsia="黑体" w:cs="黑体"/>
              <w:b/>
              <w:i w:val="0"/>
              <w:caps w:val="0"/>
              <w:spacing w:val="0"/>
              <w:kern w:val="0"/>
              <w:sz w:val="32"/>
              <w:szCs w:val="44"/>
              <w:lang w:val="en-US" w:eastAsia="zh-CN" w:bidi="ar"/>
            </w:rPr>
            <w:instrText xml:space="preserve"> HYPERLINK \l _Toc20712 </w:instrText>
          </w:r>
          <w:r>
            <w:rPr>
              <w:rFonts w:hint="eastAsia" w:ascii="黑体" w:hAnsi="黑体" w:eastAsia="黑体" w:cs="黑体"/>
              <w:b/>
              <w:i w:val="0"/>
              <w:caps w:val="0"/>
              <w:spacing w:val="0"/>
              <w:kern w:val="0"/>
              <w:sz w:val="32"/>
              <w:szCs w:val="44"/>
              <w:lang w:val="en-US" w:eastAsia="zh-CN" w:bidi="ar"/>
            </w:rPr>
            <w:fldChar w:fldCharType="separate"/>
          </w:r>
          <w:r>
            <w:rPr>
              <w:rFonts w:hint="eastAsia" w:ascii="微软雅黑" w:hAnsi="微软雅黑" w:eastAsia="微软雅黑" w:cs="微软雅黑"/>
              <w:b/>
              <w:bCs/>
              <w:i w:val="0"/>
              <w:caps w:val="0"/>
              <w:spacing w:val="0"/>
              <w:kern w:val="0"/>
              <w:sz w:val="32"/>
              <w:szCs w:val="52"/>
              <w:lang w:val="en-US" w:eastAsia="zh-CN" w:bidi="ar"/>
            </w:rPr>
            <w:t>第四部分 名词解释</w:t>
          </w:r>
          <w:r>
            <w:rPr>
              <w:b/>
              <w:sz w:val="32"/>
              <w:szCs w:val="32"/>
            </w:rPr>
            <w:tab/>
          </w:r>
          <w:r>
            <w:rPr>
              <w:b/>
              <w:sz w:val="32"/>
              <w:szCs w:val="32"/>
            </w:rPr>
            <w:fldChar w:fldCharType="begin"/>
          </w:r>
          <w:r>
            <w:rPr>
              <w:b/>
              <w:sz w:val="32"/>
              <w:szCs w:val="32"/>
            </w:rPr>
            <w:instrText xml:space="preserve"> PAGEREF _Toc20712 \h </w:instrText>
          </w:r>
          <w:r>
            <w:rPr>
              <w:b/>
              <w:sz w:val="32"/>
              <w:szCs w:val="32"/>
            </w:rPr>
            <w:fldChar w:fldCharType="separate"/>
          </w:r>
          <w:r>
            <w:rPr>
              <w:b/>
              <w:sz w:val="32"/>
              <w:szCs w:val="32"/>
            </w:rPr>
            <w:t>15</w:t>
          </w:r>
          <w:r>
            <w:rPr>
              <w:b/>
              <w:sz w:val="32"/>
              <w:szCs w:val="32"/>
            </w:rPr>
            <w:fldChar w:fldCharType="end"/>
          </w:r>
          <w:r>
            <w:rPr>
              <w:rFonts w:hint="eastAsia" w:ascii="黑体" w:hAnsi="黑体" w:eastAsia="黑体" w:cs="黑体"/>
              <w:b/>
              <w:i w:val="0"/>
              <w:caps w:val="0"/>
              <w:color w:val="333333"/>
              <w:spacing w:val="0"/>
              <w:kern w:val="0"/>
              <w:sz w:val="32"/>
              <w:szCs w:val="44"/>
              <w:lang w:val="en-US" w:eastAsia="zh-CN" w:bidi="ar"/>
            </w:rPr>
            <w:fldChar w:fldCharType="end"/>
          </w:r>
        </w:p>
        <w:p>
          <w:pPr>
            <w:pStyle w:val="15"/>
            <w:tabs>
              <w:tab w:val="right" w:leader="dot" w:pos="8306"/>
            </w:tabs>
            <w:rPr>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i w:val="0"/>
              <w:caps w:val="0"/>
              <w:color w:val="333333"/>
              <w:spacing w:val="0"/>
              <w:kern w:val="0"/>
              <w:sz w:val="24"/>
              <w:szCs w:val="27"/>
              <w:lang w:val="en-US" w:eastAsia="zh-CN" w:bidi="ar"/>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i w:val="0"/>
              <w:caps w:val="0"/>
              <w:color w:val="333333"/>
              <w:spacing w:val="0"/>
              <w:kern w:val="0"/>
              <w:sz w:val="44"/>
              <w:szCs w:val="44"/>
              <w:lang w:val="en-US" w:eastAsia="zh-CN" w:bidi="ar"/>
            </w:rPr>
            <w:fldChar w:fldCharType="end"/>
          </w:r>
        </w:p>
      </w:sdtContent>
    </w:sd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i w:val="0"/>
          <w:caps w:val="0"/>
          <w:color w:val="333333"/>
          <w:spacing w:val="0"/>
          <w:kern w:val="0"/>
          <w:sz w:val="24"/>
          <w:szCs w:val="27"/>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lang w:val="en-US" w:eastAsia="zh-CN" w:bidi="ar"/>
        </w:rPr>
      </w:pPr>
      <w:bookmarkStart w:id="0" w:name="_Toc16979"/>
      <w:r>
        <w:rPr>
          <w:rFonts w:hint="eastAsia" w:ascii="微软雅黑" w:hAnsi="微软雅黑" w:eastAsia="微软雅黑" w:cs="微软雅黑"/>
          <w:b/>
          <w:bCs/>
          <w:i w:val="0"/>
          <w:caps w:val="0"/>
          <w:color w:val="333333"/>
          <w:spacing w:val="0"/>
          <w:kern w:val="0"/>
          <w:sz w:val="32"/>
          <w:szCs w:val="32"/>
          <w:lang w:val="en-US" w:eastAsia="zh-CN" w:bidi="ar"/>
        </w:rPr>
        <w:t>第一部分 单位概况</w:t>
      </w:r>
      <w:bookmarkEnd w:id="0"/>
    </w:p>
    <w:p>
      <w:pPr>
        <w:pStyle w:val="13"/>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微软雅黑" w:hAnsi="微软雅黑" w:eastAsia="微软雅黑" w:cs="微软雅黑"/>
          <w:i w:val="0"/>
          <w:caps w:val="0"/>
          <w:color w:val="333333"/>
          <w:spacing w:val="0"/>
          <w:kern w:val="0"/>
          <w:sz w:val="32"/>
          <w:szCs w:val="32"/>
          <w:lang w:val="en-US" w:eastAsia="zh-CN" w:bidi="ar"/>
        </w:rPr>
      </w:pPr>
      <w:bookmarkStart w:id="1" w:name="_Toc24345"/>
      <w:r>
        <w:rPr>
          <w:rFonts w:hint="eastAsia" w:ascii="微软雅黑" w:hAnsi="微软雅黑" w:eastAsia="微软雅黑" w:cs="微软雅黑"/>
          <w:i w:val="0"/>
          <w:caps w:val="0"/>
          <w:color w:val="333333"/>
          <w:spacing w:val="0"/>
          <w:kern w:val="0"/>
          <w:sz w:val="32"/>
          <w:szCs w:val="32"/>
          <w:lang w:val="en-US" w:eastAsia="zh-CN" w:bidi="ar"/>
        </w:rPr>
        <w:t>（一）主要职能</w:t>
      </w:r>
      <w:bookmarkEnd w:id="1"/>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市农业农村局负责贯彻落实党中央关于“三农”工作的方针政策和决策部署，把坚持和加强党中央对“三农”工作的集中统一领导落实到履行职责过程中，落实省委、省政府工作要求和市委、市政府工作安排。主要职责是：</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统筹研究和组织实施“三农”工作的发展战略、中长期规划、重大政策。组织起草农业农村地方性政府规章草案。指导农业综合执法。参与涉农财税、价格、收储、金融保险等政策措施制定。</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统筹推动发展农村社会事业、农村公共服务、农村文化、农村基础设施和乡村治理。牵头组织改善农村人居环境。指导农村精神文明和优秀农耕文化建设。指导农业行业安全生产工作。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组织落实深化农村经济体制改革和巩固完善农村基本经营制度的政策。承担农民承包地、农村宅基地改革和管理有关工作。承担农村集体产权制度改革，指导农村集体经济组织发展和集体资产管理工作。指导农民合作经济组织、农业社会化服务体系、新型农业经营主体建设与发展。</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种植业、畜牧业、渔业、农垦、农业机械化等农业各产业的监督管理。指导粮食、油料、畜禽、水产等农产品生产。指导蔬菜、水果、茶叶、蚕桑、中药材、烟叶等经济作物生产可持续发展。组织构建现代农业产业体系、生产体系、经营体系，指导农业标准化生产。负责渔政渔港监督管理。</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负责农产品质量安全监督管理。组织开展农产品质量安全监测、追溯、风险评估。参与制定农产品质量安全地方标准并会同有关部门组织实施。指导农业检验检测体系建设。</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配合做好农业资源区划相关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有关农业生产资料和农业投入品的监督管理。配合做好农业生产资料市场体系建设。组织实施兽药质量、兽药残留限量和残留检测方法国家标准。组织兽医医政、兽药药政药检工作，负责执业兽医和畜禽屠宰行业管理。</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负责农业防灾减灾、农作物重大病虫害防治工作。指导动植物防疫检疫体系建设，组织、监督全市动植物防疫检疫工作，发布疫情并组织扑灭。</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负责农业投资管理。提出农业投融资体制机制改革建议。编制市级投资安排的农业投资项目建设规划，提出农业投资规模和方向、扶持农业农村发展财政项目的建议，按市政府规定权限，审批市级财政专项安排的农业投资项目，负责农业投资项目资金安排和监督管理。</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指导农业农村人才工作。拟订农业农村人才队伍建设规划并组织实施，指导农业教育和农业职业技能开发，指导新型职业农民培育、农业科技人才培养和农村实用人才培训工作。</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牵头开展农业对外合作工作。承办政府间农业涉外事务，组织开展农业贸易促进和有关对外交流合作，组织实施有关农业援外项目。</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职能转变。统筹实施乡村振兴战略，深化农业供给侧结构性改革，提升农业发展质量，牵头组织农村人居环境整治工作，扎实推进美丽乡村建设，推动农业全面升级、农村全面进步、农民全面发展，加快实现农业农村现代化。加强农产品质量安全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的农业投资项目的统筹整合，最大限度缩小项目审批范围，进一步下放审批权限，加强事中事后监管，切实提升国家支农政策效果和资金使用效益。</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与市市场监督管理局有关职责分工。市农业农村局负责食用农产品从种植养殖环节到进入批发、零售市场或生产加工企业前的质量安全监督管理。食用农产品进入批发、零售市场或生产加工企业后，由市市场监督管理局监督管理。市农业农村局负责动植物疫病防控、畜禽屠宰环节、生鲜乳收购环节质量安全的监督管理。两部门要建立食品安全生产地准出、市场准入和追溯机制，加强协调配合和工作衔接，形成监管合力。</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微软雅黑" w:hAnsi="微软雅黑" w:eastAsia="微软雅黑" w:cs="微软雅黑"/>
          <w:i w:val="0"/>
          <w:caps w:val="0"/>
          <w:color w:val="333333"/>
          <w:spacing w:val="0"/>
          <w:kern w:val="0"/>
          <w:sz w:val="32"/>
          <w:szCs w:val="32"/>
          <w:lang w:val="en-US" w:eastAsia="zh-CN" w:bidi="ar"/>
        </w:rPr>
      </w:pPr>
      <w:bookmarkStart w:id="2" w:name="_Toc1601"/>
      <w:r>
        <w:rPr>
          <w:rFonts w:hint="eastAsia" w:ascii="微软雅黑" w:hAnsi="微软雅黑" w:eastAsia="微软雅黑" w:cs="微软雅黑"/>
          <w:i w:val="0"/>
          <w:caps w:val="0"/>
          <w:color w:val="333333"/>
          <w:spacing w:val="0"/>
          <w:kern w:val="0"/>
          <w:sz w:val="32"/>
          <w:szCs w:val="32"/>
          <w:lang w:val="en-US" w:eastAsia="zh-CN" w:bidi="ar"/>
        </w:rPr>
        <w:t>（二）机构设置</w:t>
      </w:r>
      <w:bookmarkEnd w:id="2"/>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25"/>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根据上述职责，市农业农村局设1</w:t>
      </w: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rPr>
        <w:t>个内设机构，局机关行政编制5</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名（含市委农村工作领导小组办公室秘书科编制）。设局长1名，副局长3名；正科级领导职数</w:t>
      </w:r>
      <w:r>
        <w:rPr>
          <w:rFonts w:hint="eastAsia" w:ascii="仿宋" w:hAnsi="仿宋" w:eastAsia="仿宋" w:cs="仿宋"/>
          <w:color w:val="333333"/>
          <w:kern w:val="0"/>
          <w:sz w:val="32"/>
          <w:szCs w:val="32"/>
          <w:lang w:val="en-US" w:eastAsia="zh-CN"/>
        </w:rPr>
        <w:t>19</w:t>
      </w:r>
      <w:r>
        <w:rPr>
          <w:rFonts w:hint="eastAsia" w:ascii="仿宋" w:hAnsi="仿宋" w:eastAsia="仿宋" w:cs="仿宋"/>
          <w:color w:val="333333"/>
          <w:kern w:val="0"/>
          <w:sz w:val="32"/>
          <w:szCs w:val="32"/>
        </w:rPr>
        <w:t>名（含市委农村工作领导小组办公室秘书科科长1名、总农艺师1名、总经济师1名、机关党委专职副书记1名、离退休干部科科长1名），副科级领导职数</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年，市农业农村局纳入预算在职在编人员</w:t>
      </w:r>
      <w:r>
        <w:rPr>
          <w:rFonts w:hint="eastAsia" w:ascii="仿宋" w:hAnsi="仿宋" w:eastAsia="仿宋" w:cs="仿宋"/>
          <w:color w:val="333333"/>
          <w:kern w:val="0"/>
          <w:sz w:val="32"/>
          <w:szCs w:val="32"/>
          <w:lang w:val="en-US" w:eastAsia="zh-CN"/>
        </w:rPr>
        <w:t>56</w:t>
      </w:r>
      <w:r>
        <w:rPr>
          <w:rFonts w:hint="eastAsia" w:ascii="仿宋" w:hAnsi="仿宋" w:eastAsia="仿宋" w:cs="仿宋"/>
          <w:color w:val="333333"/>
          <w:kern w:val="0"/>
          <w:sz w:val="32"/>
          <w:szCs w:val="32"/>
        </w:rPr>
        <w:t>人，其中：行政编制</w:t>
      </w:r>
      <w:r>
        <w:rPr>
          <w:rFonts w:hint="eastAsia" w:ascii="仿宋" w:hAnsi="仿宋" w:eastAsia="仿宋" w:cs="仿宋"/>
          <w:color w:val="333333"/>
          <w:kern w:val="0"/>
          <w:sz w:val="32"/>
          <w:szCs w:val="32"/>
          <w:lang w:val="en-US" w:eastAsia="zh-CN"/>
        </w:rPr>
        <w:t>54</w:t>
      </w:r>
      <w:r>
        <w:rPr>
          <w:rFonts w:hint="eastAsia" w:ascii="仿宋" w:hAnsi="仿宋" w:eastAsia="仿宋" w:cs="仿宋"/>
          <w:color w:val="333333"/>
          <w:kern w:val="0"/>
          <w:sz w:val="32"/>
          <w:szCs w:val="32"/>
        </w:rPr>
        <w:t>人、工勤编制</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人</w:t>
      </w:r>
      <w:r>
        <w:rPr>
          <w:rFonts w:hint="eastAsia" w:ascii="仿宋" w:hAnsi="仿宋" w:eastAsia="仿宋" w:cs="仿宋"/>
          <w:color w:val="333333"/>
          <w:kern w:val="0"/>
          <w:sz w:val="32"/>
          <w:szCs w:val="32"/>
          <w:lang w:eastAsia="zh-CN"/>
        </w:rPr>
        <w:t>。另有</w:t>
      </w:r>
      <w:r>
        <w:rPr>
          <w:rFonts w:hint="eastAsia" w:ascii="仿宋" w:hAnsi="仿宋" w:eastAsia="仿宋" w:cs="仿宋"/>
          <w:b/>
          <w:bCs/>
          <w:color w:val="333333"/>
          <w:kern w:val="0"/>
          <w:sz w:val="32"/>
          <w:szCs w:val="32"/>
          <w:lang w:eastAsia="zh-CN"/>
        </w:rPr>
        <w:t>在职占编不上编以钱养事人员</w:t>
      </w:r>
      <w:r>
        <w:rPr>
          <w:rFonts w:hint="eastAsia" w:ascii="仿宋" w:hAnsi="仿宋" w:eastAsia="仿宋" w:cs="仿宋"/>
          <w:color w:val="333333"/>
          <w:kern w:val="0"/>
          <w:sz w:val="32"/>
          <w:szCs w:val="32"/>
          <w:lang w:val="en-US" w:eastAsia="zh-CN"/>
        </w:rPr>
        <w:t>2人、事业编制4人（咸宁市防返贫监测信息中心，局属二级事业单位，未实行独立核算）。</w:t>
      </w:r>
      <w:r>
        <w:rPr>
          <w:rFonts w:hint="eastAsia" w:ascii="仿宋" w:hAnsi="仿宋" w:eastAsia="仿宋" w:cs="仿宋"/>
          <w:color w:val="333333"/>
          <w:kern w:val="0"/>
          <w:sz w:val="32"/>
          <w:szCs w:val="32"/>
        </w:rPr>
        <w:t>离退休人员</w:t>
      </w:r>
      <w:r>
        <w:rPr>
          <w:rFonts w:hint="eastAsia" w:ascii="仿宋" w:hAnsi="仿宋" w:eastAsia="仿宋" w:cs="仿宋"/>
          <w:color w:val="333333"/>
          <w:kern w:val="0"/>
          <w:sz w:val="32"/>
          <w:szCs w:val="32"/>
          <w:lang w:val="en-US" w:eastAsia="zh-CN"/>
        </w:rPr>
        <w:t>148</w:t>
      </w:r>
      <w:r>
        <w:rPr>
          <w:rFonts w:hint="eastAsia" w:ascii="仿宋" w:hAnsi="仿宋" w:eastAsia="仿宋" w:cs="仿宋"/>
          <w:color w:val="333333"/>
          <w:kern w:val="0"/>
          <w:sz w:val="32"/>
          <w:szCs w:val="32"/>
        </w:rPr>
        <w:t>人，其中：离休</w:t>
      </w: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人、退休</w:t>
      </w:r>
      <w:r>
        <w:rPr>
          <w:rFonts w:hint="eastAsia" w:ascii="仿宋" w:hAnsi="仿宋" w:eastAsia="仿宋" w:cs="仿宋"/>
          <w:color w:val="333333"/>
          <w:kern w:val="0"/>
          <w:sz w:val="32"/>
          <w:szCs w:val="32"/>
          <w:lang w:val="en-US" w:eastAsia="zh-CN"/>
        </w:rPr>
        <w:t>147</w:t>
      </w:r>
      <w:r>
        <w:rPr>
          <w:rFonts w:hint="eastAsia" w:ascii="仿宋" w:hAnsi="仿宋" w:eastAsia="仿宋" w:cs="仿宋"/>
          <w:color w:val="333333"/>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年纳入市农业农村局部门预算的单位有</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个,其中：行政单位1个、参公事业单位3个、全额事业单位</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个。</w:t>
      </w:r>
    </w:p>
    <w:p>
      <w:pPr>
        <w:pStyle w:val="8"/>
        <w:rPr>
          <w:rFonts w:hint="eastAsia"/>
        </w:rPr>
      </w:pPr>
    </w:p>
    <w:tbl>
      <w:tblPr>
        <w:tblStyle w:val="9"/>
        <w:tblW w:w="5250" w:type="pct"/>
        <w:tblInd w:w="-30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57"/>
        <w:gridCol w:w="5221"/>
        <w:gridCol w:w="20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预算编号</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单位性质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 w:hRule="atLeast"/>
        </w:trPr>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227001</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咸宁市农业农村局</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行政单位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227003</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咸宁市农业环境保护站</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参公事业单位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227004</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w:t>
            </w:r>
            <w:r>
              <w:rPr>
                <w:rFonts w:hint="eastAsia" w:ascii="仿宋" w:hAnsi="仿宋" w:eastAsia="仿宋" w:cs="仿宋"/>
                <w:kern w:val="0"/>
                <w:sz w:val="32"/>
                <w:szCs w:val="32"/>
                <w:lang w:eastAsia="zh-CN"/>
              </w:rPr>
              <w:t>种业推广服务</w:t>
            </w:r>
            <w:r>
              <w:rPr>
                <w:rFonts w:hint="eastAsia" w:ascii="仿宋" w:hAnsi="仿宋" w:eastAsia="仿宋" w:cs="仿宋"/>
                <w:kern w:val="0"/>
                <w:sz w:val="32"/>
                <w:szCs w:val="32"/>
              </w:rPr>
              <w:t>中心</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全额事业单位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227005</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咸宁市水产局</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参公事业单位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227007</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咸宁市畜牧兽医局</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参公事业单位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33"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2270</w:t>
            </w:r>
            <w:r>
              <w:rPr>
                <w:rFonts w:hint="eastAsia" w:ascii="仿宋" w:hAnsi="仿宋" w:eastAsia="仿宋" w:cs="仿宋"/>
                <w:kern w:val="0"/>
                <w:sz w:val="32"/>
                <w:szCs w:val="32"/>
                <w:lang w:val="en-US" w:eastAsia="zh-CN"/>
              </w:rPr>
              <w:t>10</w:t>
            </w:r>
          </w:p>
        </w:tc>
        <w:tc>
          <w:tcPr>
            <w:tcW w:w="298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240" w:line="56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咸宁市动物疫病预防控制中心</w:t>
            </w:r>
          </w:p>
        </w:tc>
        <w:tc>
          <w:tcPr>
            <w:tcW w:w="1180"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全额事业单位</w:t>
            </w:r>
          </w:p>
        </w:tc>
      </w:tr>
    </w:tbl>
    <w:p>
      <w:pPr>
        <w:pStyle w:val="13"/>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i w:val="0"/>
          <w:caps w:val="0"/>
          <w:color w:val="333333"/>
          <w:spacing w:val="0"/>
          <w:kern w:val="0"/>
          <w:sz w:val="32"/>
          <w:szCs w:val="32"/>
          <w:lang w:val="en-US" w:eastAsia="zh-CN" w:bidi="ar"/>
        </w:rPr>
      </w:pPr>
    </w:p>
    <w:p>
      <w:pPr>
        <w:pStyle w:val="13"/>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微软雅黑" w:hAnsi="微软雅黑" w:eastAsia="微软雅黑" w:cs="微软雅黑"/>
          <w:i w:val="0"/>
          <w:caps w:val="0"/>
          <w:color w:val="333333"/>
          <w:spacing w:val="0"/>
          <w:kern w:val="0"/>
          <w:sz w:val="32"/>
          <w:szCs w:val="32"/>
          <w:lang w:val="en-US" w:eastAsia="zh-CN" w:bidi="ar"/>
        </w:rPr>
      </w:pPr>
      <w:bookmarkStart w:id="3" w:name="_Toc10124"/>
      <w:r>
        <w:rPr>
          <w:rFonts w:hint="eastAsia" w:ascii="微软雅黑" w:hAnsi="微软雅黑" w:eastAsia="微软雅黑" w:cs="微软雅黑"/>
          <w:i w:val="0"/>
          <w:caps w:val="0"/>
          <w:color w:val="333333"/>
          <w:spacing w:val="0"/>
          <w:kern w:val="0"/>
          <w:sz w:val="32"/>
          <w:szCs w:val="32"/>
          <w:lang w:val="en-US" w:eastAsia="zh-CN" w:bidi="ar"/>
        </w:rPr>
        <w:t>（三）年度主要工作任务及目标</w:t>
      </w:r>
      <w:bookmarkEnd w:id="3"/>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val="0"/>
          <w:color w:val="000000"/>
          <w:spacing w:val="0"/>
          <w:sz w:val="32"/>
          <w:szCs w:val="32"/>
          <w:lang w:val="en-US" w:eastAsia="zh-CN"/>
        </w:rPr>
      </w:pPr>
      <w:bookmarkStart w:id="4" w:name="_Toc4566"/>
      <w:r>
        <w:rPr>
          <w:rFonts w:hint="eastAsia" w:ascii="仿宋" w:hAnsi="仿宋" w:eastAsia="仿宋" w:cs="仿宋"/>
          <w:bCs w:val="0"/>
          <w:color w:val="000000"/>
          <w:spacing w:val="0"/>
          <w:kern w:val="2"/>
          <w:sz w:val="32"/>
          <w:szCs w:val="32"/>
          <w:lang w:val="en-US" w:eastAsia="zh-CN" w:bidi="ar-SA"/>
        </w:rPr>
        <w:t>2025年是“十四五”规划收官之年，是巩固拓展脱贫攻坚成果同乡村振兴有效衔接5年过渡期的最后一年。我们将深入学习贯彻习近平总书记考察湖北、亲临咸宁重要讲话和重要指示精神，牢记嘱托、感恩奋进，履职尽责、真抓实干，加快建设高质高效农业强市，为自然生态公园城市建设作出更大贡献。</w:t>
      </w:r>
      <w:bookmarkEnd w:id="4"/>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color w:val="000000"/>
          <w:spacing w:val="0"/>
          <w:sz w:val="32"/>
          <w:szCs w:val="32"/>
          <w:lang w:val="en-US" w:eastAsia="zh-CN"/>
        </w:rPr>
        <w:t>1、</w:t>
      </w:r>
      <w:r>
        <w:rPr>
          <w:rFonts w:hint="eastAsia" w:ascii="仿宋" w:hAnsi="仿宋" w:eastAsia="仿宋" w:cs="仿宋"/>
          <w:b w:val="0"/>
          <w:bCs w:val="0"/>
          <w:color w:val="000000"/>
          <w:spacing w:val="0"/>
          <w:kern w:val="2"/>
          <w:sz w:val="32"/>
          <w:szCs w:val="32"/>
          <w:lang w:val="en-US" w:eastAsia="zh-CN" w:bidi="ar-SA"/>
        </w:rPr>
        <w:t>牢牢守住粮食安全和不发生规模性返贫“两条底线”。</w:t>
      </w:r>
      <w:r>
        <w:rPr>
          <w:rFonts w:hint="eastAsia" w:ascii="仿宋" w:hAnsi="仿宋" w:eastAsia="仿宋" w:cs="仿宋"/>
          <w:color w:val="000000"/>
          <w:spacing w:val="0"/>
          <w:kern w:val="2"/>
          <w:sz w:val="32"/>
          <w:szCs w:val="32"/>
          <w:lang w:val="en-US" w:eastAsia="zh-CN" w:bidi="ar-SA"/>
        </w:rPr>
        <w:t>坚持稳面积、提单产、增质效，</w:t>
      </w:r>
      <w:r>
        <w:rPr>
          <w:rFonts w:hint="eastAsia" w:ascii="仿宋" w:hAnsi="仿宋" w:eastAsia="仿宋" w:cs="仿宋"/>
          <w:bCs/>
          <w:color w:val="000000"/>
          <w:kern w:val="2"/>
          <w:sz w:val="32"/>
          <w:szCs w:val="32"/>
          <w:lang w:val="en-US" w:eastAsia="zh-CN" w:bidi="ar-SA"/>
        </w:rPr>
        <w:t>确保粮食丰产稳产。持续</w:t>
      </w:r>
      <w:r>
        <w:rPr>
          <w:rFonts w:hint="eastAsia" w:ascii="仿宋" w:hAnsi="仿宋" w:eastAsia="仿宋" w:cs="仿宋"/>
          <w:color w:val="000000"/>
          <w:spacing w:val="0"/>
          <w:kern w:val="2"/>
          <w:sz w:val="32"/>
          <w:szCs w:val="32"/>
          <w:lang w:val="en-US" w:eastAsia="zh-CN" w:bidi="ar-SA"/>
        </w:rPr>
        <w:t>推进高标准</w:t>
      </w:r>
      <w:bookmarkStart w:id="19" w:name="_GoBack"/>
      <w:bookmarkEnd w:id="19"/>
      <w:r>
        <w:rPr>
          <w:rFonts w:hint="eastAsia" w:ascii="仿宋" w:hAnsi="仿宋" w:eastAsia="仿宋" w:cs="仿宋"/>
          <w:color w:val="000000"/>
          <w:spacing w:val="0"/>
          <w:kern w:val="2"/>
          <w:sz w:val="32"/>
          <w:szCs w:val="32"/>
          <w:lang w:val="en-US" w:eastAsia="zh-CN" w:bidi="ar-SA"/>
        </w:rPr>
        <w:t>农田建设，进一步健全建、管、护工作机制。持续巩固“两不愁三保障”成果，强化常态化防止返贫监测和帮扶，</w:t>
      </w:r>
      <w:r>
        <w:rPr>
          <w:rFonts w:hint="eastAsia" w:ascii="仿宋" w:hAnsi="仿宋" w:eastAsia="仿宋" w:cs="仿宋"/>
          <w:color w:val="000000"/>
          <w:sz w:val="32"/>
          <w:szCs w:val="32"/>
          <w:lang w:val="en-US" w:eastAsia="zh-CN"/>
        </w:rPr>
        <w:t>千方百计</w:t>
      </w:r>
      <w:r>
        <w:rPr>
          <w:rFonts w:hint="eastAsia" w:ascii="仿宋" w:hAnsi="仿宋" w:eastAsia="仿宋" w:cs="仿宋"/>
          <w:color w:val="000000"/>
          <w:spacing w:val="0"/>
          <w:kern w:val="2"/>
          <w:sz w:val="32"/>
          <w:szCs w:val="32"/>
          <w:lang w:val="en-US" w:eastAsia="zh-CN" w:bidi="ar-SA"/>
        </w:rPr>
        <w:t>促进脱贫人口持续稳定增收，牢牢守住不发生规模性返贫致贫底线。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b w:val="0"/>
          <w:bCs w:val="0"/>
          <w:color w:val="000000"/>
          <w:spacing w:val="0"/>
          <w:sz w:val="32"/>
          <w:szCs w:val="32"/>
          <w:lang w:val="en-US" w:eastAsia="zh-CN"/>
        </w:rPr>
        <w:t>2、全力推动农业产业化发展。</w:t>
      </w:r>
      <w:r>
        <w:rPr>
          <w:rFonts w:hint="eastAsia" w:ascii="仿宋" w:hAnsi="仿宋" w:eastAsia="仿宋" w:cs="仿宋"/>
          <w:color w:val="000000"/>
          <w:spacing w:val="0"/>
          <w:sz w:val="32"/>
          <w:szCs w:val="32"/>
          <w:lang w:val="en-US" w:eastAsia="zh-CN"/>
        </w:rPr>
        <w:t>坚持以</w:t>
      </w:r>
      <w:r>
        <w:rPr>
          <w:rFonts w:hint="eastAsia" w:ascii="仿宋" w:hAnsi="仿宋" w:eastAsia="仿宋" w:cs="仿宋"/>
          <w:b w:val="0"/>
          <w:bCs w:val="0"/>
          <w:color w:val="000000"/>
          <w:spacing w:val="0"/>
          <w:sz w:val="32"/>
          <w:szCs w:val="32"/>
          <w:lang w:val="en-US" w:eastAsia="zh-CN"/>
        </w:rPr>
        <w:t>工业化理念和供应链思维，</w:t>
      </w:r>
      <w:r>
        <w:rPr>
          <w:rFonts w:hint="eastAsia" w:ascii="仿宋" w:hAnsi="仿宋" w:eastAsia="仿宋" w:cs="仿宋"/>
          <w:color w:val="000000"/>
          <w:spacing w:val="0"/>
          <w:sz w:val="32"/>
          <w:szCs w:val="32"/>
        </w:rPr>
        <w:t>持续推进茶叶、蔬菜</w:t>
      </w:r>
      <w:r>
        <w:rPr>
          <w:rFonts w:hint="eastAsia" w:ascii="仿宋" w:hAnsi="仿宋" w:eastAsia="仿宋" w:cs="仿宋"/>
          <w:color w:val="000000"/>
          <w:spacing w:val="0"/>
          <w:sz w:val="32"/>
          <w:szCs w:val="32"/>
          <w:lang w:eastAsia="zh-CN"/>
        </w:rPr>
        <w:t>等</w:t>
      </w:r>
      <w:r>
        <w:rPr>
          <w:rFonts w:hint="eastAsia" w:ascii="仿宋" w:hAnsi="仿宋" w:eastAsia="仿宋" w:cs="仿宋"/>
          <w:color w:val="000000"/>
          <w:spacing w:val="0"/>
          <w:sz w:val="32"/>
          <w:szCs w:val="32"/>
        </w:rPr>
        <w:t>八大农业主导产业链</w:t>
      </w:r>
      <w:r>
        <w:rPr>
          <w:rFonts w:hint="eastAsia" w:ascii="仿宋" w:hAnsi="仿宋" w:eastAsia="仿宋" w:cs="仿宋"/>
          <w:color w:val="000000"/>
          <w:spacing w:val="0"/>
          <w:sz w:val="32"/>
          <w:szCs w:val="32"/>
          <w:lang w:eastAsia="zh-CN"/>
        </w:rPr>
        <w:t>建设</w:t>
      </w: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eastAsia="zh-CN"/>
        </w:rPr>
        <w:t>突出抓好赤壁青砖茶、</w:t>
      </w:r>
      <w:r>
        <w:rPr>
          <w:rFonts w:hint="eastAsia" w:ascii="仿宋" w:hAnsi="仿宋" w:eastAsia="仿宋" w:cs="仿宋"/>
          <w:b w:val="0"/>
          <w:color w:val="000000"/>
          <w:kern w:val="2"/>
          <w:sz w:val="32"/>
          <w:szCs w:val="32"/>
          <w:lang w:val="en-US" w:eastAsia="zh-CN" w:bidi="ar-SA"/>
        </w:rPr>
        <w:t>嘉鱼蔬菜、通崇中药材等</w:t>
      </w:r>
      <w:r>
        <w:rPr>
          <w:rFonts w:hint="eastAsia" w:ascii="仿宋" w:hAnsi="仿宋" w:eastAsia="仿宋" w:cs="仿宋"/>
          <w:color w:val="000000"/>
          <w:spacing w:val="0"/>
          <w:sz w:val="32"/>
          <w:szCs w:val="32"/>
          <w:lang w:val="en-US" w:eastAsia="zh-CN"/>
        </w:rPr>
        <w:t>产业倍增行动，争取更多国家级、省级产业集群建设项目。切实贯彻落实习近平总书记亲临咸宁考察重要指示精神，实施好嘉鱼县蔬菜产业高质量发展行动，围绕全程机械化、标准化生产，推动嘉鱼蔬菜走科技之路、质量之路、品牌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color w:val="000000"/>
          <w:spacing w:val="0"/>
          <w:sz w:val="32"/>
          <w:szCs w:val="32"/>
          <w:lang w:val="en-US" w:eastAsia="zh-CN"/>
        </w:rPr>
        <w:t>3、扎实推进宜居宜业和美乡村建设。</w:t>
      </w:r>
      <w:r>
        <w:rPr>
          <w:rFonts w:hint="eastAsia" w:ascii="仿宋" w:hAnsi="仿宋" w:eastAsia="仿宋" w:cs="仿宋"/>
          <w:color w:val="000000"/>
          <w:spacing w:val="0"/>
          <w:kern w:val="2"/>
          <w:sz w:val="32"/>
          <w:szCs w:val="32"/>
          <w:lang w:val="en-US" w:eastAsia="zh-CN" w:bidi="ar-SA"/>
        </w:rPr>
        <w:t>以强县工程为抓手，突出兴业、强县、富民，加快补齐基础设施和公共服务短板，持续深化垃圾、污水和厕所“三大革命”，全面提升农村人居环境质量，抓好农村“一老一小”、移风易俗等乡村治理重点工作。</w:t>
      </w:r>
      <w:r>
        <w:rPr>
          <w:rFonts w:hint="eastAsia" w:ascii="仿宋" w:hAnsi="仿宋" w:eastAsia="仿宋" w:cs="仿宋"/>
          <w:b w:val="0"/>
          <w:bCs w:val="0"/>
          <w:color w:val="000000"/>
          <w:spacing w:val="0"/>
          <w:sz w:val="32"/>
          <w:szCs w:val="32"/>
          <w:lang w:val="en-US" w:eastAsia="zh-CN"/>
        </w:rPr>
        <w:t>推进</w:t>
      </w:r>
      <w:r>
        <w:rPr>
          <w:rFonts w:hint="eastAsia" w:ascii="仿宋" w:hAnsi="仿宋" w:eastAsia="仿宋" w:cs="仿宋"/>
          <w:color w:val="000000"/>
          <w:spacing w:val="0"/>
          <w:kern w:val="2"/>
          <w:sz w:val="32"/>
          <w:szCs w:val="32"/>
          <w:lang w:val="en-US" w:eastAsia="zh-CN" w:bidi="ar-SA"/>
        </w:rPr>
        <w:t>农业发展全面绿色转型，</w:t>
      </w:r>
      <w:r>
        <w:rPr>
          <w:rFonts w:hint="eastAsia" w:ascii="仿宋" w:hAnsi="仿宋" w:eastAsia="仿宋" w:cs="仿宋"/>
          <w:color w:val="000000"/>
          <w:spacing w:val="0"/>
          <w:sz w:val="32"/>
          <w:szCs w:val="32"/>
        </w:rPr>
        <w:t>深入践行长江大保护战略，打好长江流域“十年禁渔”持久战。</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4、持续深化农业农村改革。</w:t>
      </w:r>
      <w:r>
        <w:rPr>
          <w:rFonts w:hint="eastAsia" w:ascii="仿宋" w:hAnsi="仿宋" w:eastAsia="仿宋" w:cs="仿宋"/>
          <w:color w:val="000000"/>
          <w:spacing w:val="0"/>
          <w:sz w:val="32"/>
          <w:szCs w:val="32"/>
        </w:rPr>
        <w:t>统筹推进</w:t>
      </w:r>
      <w:r>
        <w:rPr>
          <w:rFonts w:hint="eastAsia" w:ascii="仿宋" w:hAnsi="仿宋" w:eastAsia="仿宋" w:cs="仿宋"/>
          <w:color w:val="000000"/>
          <w:spacing w:val="0"/>
          <w:kern w:val="2"/>
          <w:sz w:val="32"/>
          <w:szCs w:val="32"/>
          <w:lang w:val="en-US" w:eastAsia="zh-CN" w:bidi="ar-SA"/>
        </w:rPr>
        <w:t>农村土地“三权分置”、</w:t>
      </w:r>
      <w:r>
        <w:rPr>
          <w:rFonts w:hint="eastAsia" w:ascii="仿宋" w:hAnsi="仿宋" w:eastAsia="仿宋" w:cs="仿宋"/>
          <w:color w:val="000000"/>
          <w:spacing w:val="0"/>
          <w:sz w:val="32"/>
          <w:szCs w:val="32"/>
        </w:rPr>
        <w:t>“小田并大田”</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农村宅基地改革，持续扩大农村集体经营性建设用地入市试点</w:t>
      </w:r>
      <w:r>
        <w:rPr>
          <w:rFonts w:hint="eastAsia" w:ascii="仿宋" w:hAnsi="仿宋" w:eastAsia="仿宋" w:cs="仿宋"/>
          <w:color w:val="000000"/>
          <w:spacing w:val="0"/>
          <w:sz w:val="32"/>
          <w:szCs w:val="32"/>
          <w:lang w:eastAsia="zh-CN"/>
        </w:rPr>
        <w:t>。探索多元化发展壮大村集体经济，</w:t>
      </w:r>
      <w:r>
        <w:rPr>
          <w:rFonts w:hint="eastAsia" w:ascii="仿宋" w:hAnsi="仿宋" w:eastAsia="仿宋" w:cs="仿宋"/>
          <w:color w:val="000000"/>
          <w:spacing w:val="0"/>
          <w:kern w:val="2"/>
          <w:sz w:val="32"/>
          <w:szCs w:val="32"/>
          <w:lang w:val="en-US" w:eastAsia="zh-CN" w:bidi="ar-SA"/>
        </w:rPr>
        <w:t>力争全市70%的村集体年经营性收入过10万元。持续深化农村集体“三资”突出问题专项整治，建立以图管地、管资产的农村集体“三资”智慧监管新机制。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lang w:val="en-US" w:eastAsia="zh-CN" w:bidi="ar"/>
        </w:rPr>
      </w:pPr>
      <w:bookmarkStart w:id="5" w:name="_Toc28969"/>
      <w:r>
        <w:rPr>
          <w:rFonts w:hint="eastAsia" w:ascii="微软雅黑" w:hAnsi="微软雅黑" w:eastAsia="微软雅黑" w:cs="微软雅黑"/>
          <w:b/>
          <w:bCs/>
          <w:i w:val="0"/>
          <w:caps w:val="0"/>
          <w:color w:val="333333"/>
          <w:spacing w:val="0"/>
          <w:kern w:val="0"/>
          <w:sz w:val="32"/>
          <w:szCs w:val="32"/>
          <w:lang w:val="en-US" w:eastAsia="zh-CN" w:bidi="ar"/>
        </w:rPr>
        <w:t>第二部分 2025年部门预算表</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（一）部门收支总表。反映本部门（含所属二级单位，下同）预算收支的总体情况，支出分类科目明细至“类”级。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（二）部门收入总表。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（三）部门支出总表。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lang w:val="en-US" w:eastAsia="zh-CN"/>
        </w:rPr>
        <w:t>四</w:t>
      </w:r>
      <w:r>
        <w:rPr>
          <w:rFonts w:hint="eastAsia" w:ascii="仿宋" w:hAnsi="仿宋" w:eastAsia="仿宋" w:cs="仿宋"/>
          <w:i w:val="0"/>
          <w:caps w:val="0"/>
          <w:color w:val="333333"/>
          <w:spacing w:val="0"/>
          <w:sz w:val="32"/>
          <w:szCs w:val="32"/>
          <w:lang w:eastAsia="zh-CN"/>
        </w:rPr>
        <w:t>）财政拨款收支总表。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（五）一般公共预算支出表。按功能科目到项级。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（六）一般公共预算基本支出表。按经济科目到款级。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val="en-US" w:eastAsia="zh-CN"/>
        </w:rPr>
        <w:t>（七）</w:t>
      </w:r>
      <w:r>
        <w:rPr>
          <w:rFonts w:hint="eastAsia" w:ascii="仿宋" w:hAnsi="仿宋" w:eastAsia="仿宋" w:cs="仿宋"/>
          <w:i w:val="0"/>
          <w:caps w:val="0"/>
          <w:color w:val="333333"/>
          <w:spacing w:val="0"/>
          <w:sz w:val="32"/>
          <w:szCs w:val="32"/>
          <w:lang w:eastAsia="zh-CN"/>
        </w:rPr>
        <w:t>一般公共预算“三公”经费支出表。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val="en-US" w:eastAsia="zh-CN"/>
        </w:rPr>
        <w:t>（八）</w:t>
      </w:r>
      <w:r>
        <w:rPr>
          <w:rFonts w:hint="eastAsia" w:ascii="仿宋" w:hAnsi="仿宋" w:eastAsia="仿宋" w:cs="仿宋"/>
          <w:i w:val="0"/>
          <w:caps w:val="0"/>
          <w:color w:val="333333"/>
          <w:spacing w:val="0"/>
          <w:sz w:val="32"/>
          <w:szCs w:val="32"/>
          <w:lang w:eastAsia="zh-CN"/>
        </w:rPr>
        <w:t>政府性基金预算支出情况说明。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（九）部门项目支出表。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上述九张公开表见附件。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caps w:val="0"/>
          <w:color w:val="333333"/>
          <w:spacing w:val="0"/>
          <w:kern w:val="0"/>
          <w:sz w:val="32"/>
          <w:szCs w:val="32"/>
          <w:lang w:val="en-US" w:eastAsia="zh-CN" w:bidi="ar"/>
        </w:rPr>
      </w:pP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lang w:val="en-US" w:eastAsia="zh-CN" w:bidi="ar"/>
        </w:rPr>
      </w:pPr>
      <w:bookmarkStart w:id="6" w:name="_Toc7822"/>
      <w:r>
        <w:rPr>
          <w:rFonts w:hint="eastAsia" w:ascii="微软雅黑" w:hAnsi="微软雅黑" w:eastAsia="微软雅黑" w:cs="微软雅黑"/>
          <w:b/>
          <w:bCs/>
          <w:i w:val="0"/>
          <w:caps w:val="0"/>
          <w:color w:val="333333"/>
          <w:spacing w:val="0"/>
          <w:kern w:val="0"/>
          <w:sz w:val="32"/>
          <w:szCs w:val="32"/>
          <w:lang w:val="en-US" w:eastAsia="zh-CN" w:bidi="ar"/>
        </w:rPr>
        <w:t>2025年部门预算编制情况及说明</w:t>
      </w:r>
      <w:bookmarkEnd w:id="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caps w:val="0"/>
          <w:color w:val="333333"/>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7" w:name="_Toc628"/>
      <w:r>
        <w:rPr>
          <w:rFonts w:hint="eastAsia" w:ascii="微软雅黑" w:hAnsi="微软雅黑" w:eastAsia="微软雅黑" w:cs="微软雅黑"/>
          <w:i w:val="0"/>
          <w:caps w:val="0"/>
          <w:color w:val="333333"/>
          <w:spacing w:val="0"/>
          <w:sz w:val="32"/>
          <w:szCs w:val="32"/>
          <w:lang w:eastAsia="zh-CN"/>
        </w:rPr>
        <w:t>（一）预算收支安排及增减变化情况说明</w:t>
      </w:r>
      <w:bookmarkEnd w:id="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2025年本部门收入预算总额为</w:t>
      </w:r>
      <w:r>
        <w:rPr>
          <w:rFonts w:hint="eastAsia" w:ascii="仿宋" w:hAnsi="仿宋" w:eastAsia="仿宋" w:cs="仿宋"/>
          <w:i w:val="0"/>
          <w:caps w:val="0"/>
          <w:color w:val="333333"/>
          <w:spacing w:val="0"/>
          <w:sz w:val="32"/>
          <w:szCs w:val="32"/>
          <w:lang w:val="en-US" w:eastAsia="zh-CN"/>
        </w:rPr>
        <w:t>9859.11</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8163.24</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1695.87</w:t>
      </w:r>
      <w:r>
        <w:rPr>
          <w:rFonts w:hint="eastAsia" w:ascii="仿宋" w:hAnsi="仿宋" w:eastAsia="仿宋" w:cs="仿宋"/>
          <w:i w:val="0"/>
          <w:caps w:val="0"/>
          <w:color w:val="333333"/>
          <w:spacing w:val="0"/>
          <w:sz w:val="32"/>
          <w:szCs w:val="32"/>
          <w:lang w:eastAsia="zh-CN"/>
        </w:rPr>
        <w:t>万元），比上年增加</w:t>
      </w:r>
      <w:r>
        <w:rPr>
          <w:rFonts w:hint="eastAsia" w:ascii="仿宋" w:hAnsi="仿宋" w:eastAsia="仿宋" w:cs="仿宋"/>
          <w:i w:val="0"/>
          <w:caps w:val="0"/>
          <w:color w:val="333333"/>
          <w:spacing w:val="0"/>
          <w:sz w:val="32"/>
          <w:szCs w:val="32"/>
          <w:lang w:val="en-US" w:eastAsia="zh-CN"/>
        </w:rPr>
        <w:t>1781.41</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22.05</w:t>
      </w:r>
      <w:r>
        <w:rPr>
          <w:rFonts w:hint="eastAsia" w:ascii="仿宋" w:hAnsi="仿宋" w:eastAsia="仿宋" w:cs="仿宋"/>
          <w:i w:val="0"/>
          <w:caps w:val="0"/>
          <w:color w:val="333333"/>
          <w:spacing w:val="0"/>
          <w:sz w:val="32"/>
          <w:szCs w:val="32"/>
          <w:lang w:eastAsia="zh-CN"/>
        </w:rPr>
        <w:t>%，全部为一般公共预算财政拨款收入。增长主要原因：</w:t>
      </w:r>
      <w:r>
        <w:rPr>
          <w:rFonts w:hint="eastAsia" w:ascii="仿宋" w:hAnsi="仿宋" w:eastAsia="仿宋" w:cs="仿宋"/>
          <w:i w:val="0"/>
          <w:caps w:val="0"/>
          <w:color w:val="333333"/>
          <w:spacing w:val="0"/>
          <w:sz w:val="32"/>
          <w:szCs w:val="32"/>
          <w:lang w:val="en-US" w:eastAsia="zh-CN"/>
        </w:rPr>
        <w:t>2024年机构改革后，原咸宁市西凉湖综合管理执法局（以下简称“西凉湖管理局”）、原咸宁市农业综合执法支队（以下简称“农业执法支队”）撤并至其他部门，原咸宁市乡村振兴局及咸宁市防返贫监测信息中心（以下简称“防返贫中心”）划转至我单位，划出单位与划入单位相比，收入规模较小，整体收入同比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2025年本部门支出预算总额为</w:t>
      </w:r>
      <w:r>
        <w:rPr>
          <w:rFonts w:hint="eastAsia" w:ascii="仿宋" w:hAnsi="仿宋" w:eastAsia="仿宋" w:cs="仿宋"/>
          <w:i w:val="0"/>
          <w:caps w:val="0"/>
          <w:color w:val="333333"/>
          <w:spacing w:val="0"/>
          <w:sz w:val="32"/>
          <w:szCs w:val="32"/>
          <w:lang w:val="en-US" w:eastAsia="zh-CN"/>
        </w:rPr>
        <w:t>9859.11</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8163.24</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1695.87</w:t>
      </w:r>
      <w:r>
        <w:rPr>
          <w:rFonts w:hint="eastAsia" w:ascii="仿宋" w:hAnsi="仿宋" w:eastAsia="仿宋" w:cs="仿宋"/>
          <w:i w:val="0"/>
          <w:caps w:val="0"/>
          <w:color w:val="333333"/>
          <w:spacing w:val="0"/>
          <w:sz w:val="32"/>
          <w:szCs w:val="32"/>
          <w:lang w:eastAsia="zh-CN"/>
        </w:rPr>
        <w:t>万元），比上年增加</w:t>
      </w:r>
      <w:r>
        <w:rPr>
          <w:rFonts w:hint="eastAsia" w:ascii="仿宋" w:hAnsi="仿宋" w:eastAsia="仿宋" w:cs="仿宋"/>
          <w:i w:val="0"/>
          <w:caps w:val="0"/>
          <w:color w:val="333333"/>
          <w:spacing w:val="0"/>
          <w:sz w:val="32"/>
          <w:szCs w:val="32"/>
          <w:lang w:val="en-US" w:eastAsia="zh-CN"/>
        </w:rPr>
        <w:t>1781.41</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22.05</w:t>
      </w:r>
      <w:r>
        <w:rPr>
          <w:rFonts w:hint="eastAsia" w:ascii="仿宋" w:hAnsi="仿宋" w:eastAsia="仿宋" w:cs="仿宋"/>
          <w:i w:val="0"/>
          <w:caps w:val="0"/>
          <w:color w:val="333333"/>
          <w:spacing w:val="0"/>
          <w:sz w:val="32"/>
          <w:szCs w:val="32"/>
          <w:lang w:eastAsia="zh-CN"/>
        </w:rPr>
        <w:t>%，全部为一般公共预算财政拨款支出。增长主要原因：</w:t>
      </w:r>
      <w:r>
        <w:rPr>
          <w:rFonts w:hint="eastAsia" w:ascii="仿宋" w:hAnsi="仿宋" w:eastAsia="仿宋" w:cs="仿宋"/>
          <w:i w:val="0"/>
          <w:caps w:val="0"/>
          <w:color w:val="333333"/>
          <w:spacing w:val="0"/>
          <w:sz w:val="32"/>
          <w:szCs w:val="32"/>
          <w:lang w:val="en-US" w:eastAsia="zh-CN"/>
        </w:rPr>
        <w:t>2024年机构改革，西凉湖管理局及农业执法支队划出后，人员及公用经费等基本支出减少了530.79万元，但因另2家并入单位（原市乡村振兴局及防返贫中心）项目支出预算规模较大，项目支出预算整体增加了2312.2万元，两者相抵，2025年本部门支出预算总额在上年基础上仍有22.05%的增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咸宁市农业农村局部门2025年政府性基金预算支出为</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8" w:name="_Toc26606"/>
      <w:r>
        <w:rPr>
          <w:rFonts w:hint="eastAsia" w:ascii="微软雅黑" w:hAnsi="微软雅黑" w:eastAsia="微软雅黑" w:cs="微软雅黑"/>
          <w:i w:val="0"/>
          <w:caps w:val="0"/>
          <w:color w:val="333333"/>
          <w:spacing w:val="0"/>
          <w:sz w:val="32"/>
          <w:szCs w:val="32"/>
          <w:lang w:eastAsia="zh-CN"/>
        </w:rPr>
        <w:t>（二）机关运行经费安排及增减变化情况说明</w:t>
      </w:r>
      <w:bookmarkEnd w:id="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咸宁市农业农村局2025年机关运行经费预算</w:t>
      </w:r>
      <w:r>
        <w:rPr>
          <w:rFonts w:hint="eastAsia" w:ascii="仿宋" w:hAnsi="仿宋" w:eastAsia="仿宋" w:cs="仿宋"/>
          <w:i w:val="0"/>
          <w:caps w:val="0"/>
          <w:color w:val="333333"/>
          <w:spacing w:val="0"/>
          <w:sz w:val="32"/>
          <w:szCs w:val="32"/>
          <w:lang w:val="en-US" w:eastAsia="zh-CN"/>
        </w:rPr>
        <w:t>331.1</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247.79</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83.30</w:t>
      </w:r>
      <w:r>
        <w:rPr>
          <w:rFonts w:hint="eastAsia" w:ascii="仿宋" w:hAnsi="仿宋" w:eastAsia="仿宋" w:cs="仿宋"/>
          <w:i w:val="0"/>
          <w:caps w:val="0"/>
          <w:color w:val="333333"/>
          <w:spacing w:val="0"/>
          <w:sz w:val="32"/>
          <w:szCs w:val="32"/>
          <w:lang w:eastAsia="zh-CN"/>
        </w:rPr>
        <w:t>万元），其中：办公费</w:t>
      </w:r>
      <w:r>
        <w:rPr>
          <w:rFonts w:hint="eastAsia" w:ascii="仿宋" w:hAnsi="仿宋" w:eastAsia="仿宋" w:cs="仿宋"/>
          <w:i w:val="0"/>
          <w:caps w:val="0"/>
          <w:color w:val="333333"/>
          <w:spacing w:val="0"/>
          <w:sz w:val="32"/>
          <w:szCs w:val="32"/>
          <w:lang w:val="en-US" w:eastAsia="zh-CN"/>
        </w:rPr>
        <w:t>9.59</w:t>
      </w:r>
      <w:r>
        <w:rPr>
          <w:rFonts w:hint="eastAsia" w:ascii="仿宋" w:hAnsi="仿宋" w:eastAsia="仿宋" w:cs="仿宋"/>
          <w:i w:val="0"/>
          <w:caps w:val="0"/>
          <w:color w:val="333333"/>
          <w:spacing w:val="0"/>
          <w:sz w:val="32"/>
          <w:szCs w:val="32"/>
          <w:lang w:eastAsia="zh-CN"/>
        </w:rPr>
        <w:t>万元、印刷费</w:t>
      </w:r>
      <w:r>
        <w:rPr>
          <w:rFonts w:hint="eastAsia" w:ascii="仿宋" w:hAnsi="仿宋" w:eastAsia="仿宋" w:cs="仿宋"/>
          <w:i w:val="0"/>
          <w:caps w:val="0"/>
          <w:color w:val="333333"/>
          <w:spacing w:val="0"/>
          <w:sz w:val="32"/>
          <w:szCs w:val="32"/>
          <w:lang w:val="en-US" w:eastAsia="zh-CN"/>
        </w:rPr>
        <w:t>4</w:t>
      </w:r>
      <w:r>
        <w:rPr>
          <w:rFonts w:hint="eastAsia" w:ascii="仿宋" w:hAnsi="仿宋" w:eastAsia="仿宋" w:cs="仿宋"/>
          <w:i w:val="0"/>
          <w:caps w:val="0"/>
          <w:color w:val="333333"/>
          <w:spacing w:val="0"/>
          <w:sz w:val="32"/>
          <w:szCs w:val="32"/>
          <w:lang w:eastAsia="zh-CN"/>
        </w:rPr>
        <w:t>万元、水电费</w:t>
      </w:r>
      <w:r>
        <w:rPr>
          <w:rFonts w:hint="eastAsia" w:ascii="仿宋" w:hAnsi="仿宋" w:eastAsia="仿宋" w:cs="仿宋"/>
          <w:i w:val="0"/>
          <w:caps w:val="0"/>
          <w:color w:val="333333"/>
          <w:spacing w:val="0"/>
          <w:sz w:val="32"/>
          <w:szCs w:val="32"/>
          <w:lang w:val="en-US" w:eastAsia="zh-CN"/>
        </w:rPr>
        <w:t>7.6</w:t>
      </w:r>
      <w:r>
        <w:rPr>
          <w:rFonts w:hint="eastAsia" w:ascii="仿宋" w:hAnsi="仿宋" w:eastAsia="仿宋" w:cs="仿宋"/>
          <w:i w:val="0"/>
          <w:caps w:val="0"/>
          <w:color w:val="333333"/>
          <w:spacing w:val="0"/>
          <w:sz w:val="32"/>
          <w:szCs w:val="32"/>
          <w:lang w:eastAsia="zh-CN"/>
        </w:rPr>
        <w:t>万元、邮电费</w:t>
      </w:r>
      <w:r>
        <w:rPr>
          <w:rFonts w:hint="eastAsia" w:ascii="仿宋" w:hAnsi="仿宋" w:eastAsia="仿宋" w:cs="仿宋"/>
          <w:i w:val="0"/>
          <w:caps w:val="0"/>
          <w:color w:val="333333"/>
          <w:spacing w:val="0"/>
          <w:sz w:val="32"/>
          <w:szCs w:val="32"/>
          <w:lang w:val="en-US" w:eastAsia="zh-CN"/>
        </w:rPr>
        <w:t>9.54</w:t>
      </w:r>
      <w:r>
        <w:rPr>
          <w:rFonts w:hint="eastAsia" w:ascii="仿宋" w:hAnsi="仿宋" w:eastAsia="仿宋" w:cs="仿宋"/>
          <w:i w:val="0"/>
          <w:caps w:val="0"/>
          <w:color w:val="333333"/>
          <w:spacing w:val="0"/>
          <w:sz w:val="32"/>
          <w:szCs w:val="32"/>
          <w:lang w:eastAsia="zh-CN"/>
        </w:rPr>
        <w:t>万元、差旅费</w:t>
      </w:r>
      <w:r>
        <w:rPr>
          <w:rFonts w:hint="eastAsia" w:ascii="仿宋" w:hAnsi="仿宋" w:eastAsia="仿宋" w:cs="仿宋"/>
          <w:i w:val="0"/>
          <w:caps w:val="0"/>
          <w:color w:val="333333"/>
          <w:spacing w:val="0"/>
          <w:sz w:val="32"/>
          <w:szCs w:val="32"/>
          <w:lang w:val="en-US" w:eastAsia="zh-CN"/>
        </w:rPr>
        <w:t>6</w:t>
      </w:r>
      <w:r>
        <w:rPr>
          <w:rFonts w:hint="eastAsia" w:ascii="仿宋" w:hAnsi="仿宋" w:eastAsia="仿宋" w:cs="仿宋"/>
          <w:i w:val="0"/>
          <w:caps w:val="0"/>
          <w:color w:val="333333"/>
          <w:spacing w:val="0"/>
          <w:sz w:val="32"/>
          <w:szCs w:val="32"/>
          <w:lang w:eastAsia="zh-CN"/>
        </w:rPr>
        <w:t>万元、因公出国(境)费用</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万元、维修(护)费</w:t>
      </w:r>
      <w:r>
        <w:rPr>
          <w:rFonts w:hint="eastAsia" w:ascii="仿宋" w:hAnsi="仿宋" w:eastAsia="仿宋" w:cs="仿宋"/>
          <w:i w:val="0"/>
          <w:caps w:val="0"/>
          <w:color w:val="333333"/>
          <w:spacing w:val="0"/>
          <w:sz w:val="32"/>
          <w:szCs w:val="32"/>
          <w:lang w:val="en-US" w:eastAsia="zh-CN"/>
        </w:rPr>
        <w:t>19</w:t>
      </w:r>
      <w:r>
        <w:rPr>
          <w:rFonts w:hint="eastAsia" w:ascii="仿宋" w:hAnsi="仿宋" w:eastAsia="仿宋" w:cs="仿宋"/>
          <w:i w:val="0"/>
          <w:caps w:val="0"/>
          <w:color w:val="333333"/>
          <w:spacing w:val="0"/>
          <w:sz w:val="32"/>
          <w:szCs w:val="32"/>
          <w:lang w:eastAsia="zh-CN"/>
        </w:rPr>
        <w:t>万元、会议费</w:t>
      </w:r>
      <w:r>
        <w:rPr>
          <w:rFonts w:hint="eastAsia" w:ascii="仿宋" w:hAnsi="仿宋" w:eastAsia="仿宋" w:cs="仿宋"/>
          <w:i w:val="0"/>
          <w:caps w:val="0"/>
          <w:color w:val="333333"/>
          <w:spacing w:val="0"/>
          <w:sz w:val="32"/>
          <w:szCs w:val="32"/>
          <w:lang w:val="en-US" w:eastAsia="zh-CN"/>
        </w:rPr>
        <w:t>2</w:t>
      </w:r>
      <w:r>
        <w:rPr>
          <w:rFonts w:hint="eastAsia" w:ascii="仿宋" w:hAnsi="仿宋" w:eastAsia="仿宋" w:cs="仿宋"/>
          <w:i w:val="0"/>
          <w:caps w:val="0"/>
          <w:color w:val="333333"/>
          <w:spacing w:val="0"/>
          <w:sz w:val="32"/>
          <w:szCs w:val="32"/>
          <w:lang w:eastAsia="zh-CN"/>
        </w:rPr>
        <w:t>万元、培训费</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万元、公务接待费</w:t>
      </w:r>
      <w:r>
        <w:rPr>
          <w:rFonts w:hint="eastAsia" w:ascii="仿宋" w:hAnsi="仿宋" w:eastAsia="仿宋" w:cs="仿宋"/>
          <w:i w:val="0"/>
          <w:caps w:val="0"/>
          <w:color w:val="333333"/>
          <w:spacing w:val="0"/>
          <w:sz w:val="32"/>
          <w:szCs w:val="32"/>
          <w:lang w:val="en-US" w:eastAsia="zh-CN"/>
        </w:rPr>
        <w:t>6.85</w:t>
      </w:r>
      <w:r>
        <w:rPr>
          <w:rFonts w:hint="eastAsia" w:ascii="仿宋" w:hAnsi="仿宋" w:eastAsia="仿宋" w:cs="仿宋"/>
          <w:i w:val="0"/>
          <w:caps w:val="0"/>
          <w:color w:val="333333"/>
          <w:spacing w:val="0"/>
          <w:sz w:val="32"/>
          <w:szCs w:val="32"/>
          <w:lang w:eastAsia="zh-CN"/>
        </w:rPr>
        <w:t>万元、工会经费</w:t>
      </w:r>
      <w:r>
        <w:rPr>
          <w:rFonts w:hint="eastAsia" w:ascii="仿宋" w:hAnsi="仿宋" w:eastAsia="仿宋" w:cs="仿宋"/>
          <w:i w:val="0"/>
          <w:caps w:val="0"/>
          <w:color w:val="333333"/>
          <w:spacing w:val="0"/>
          <w:sz w:val="32"/>
          <w:szCs w:val="32"/>
          <w:lang w:val="en-US" w:eastAsia="zh-CN"/>
        </w:rPr>
        <w:t>27.79</w:t>
      </w:r>
      <w:r>
        <w:rPr>
          <w:rFonts w:hint="eastAsia" w:ascii="仿宋" w:hAnsi="仿宋" w:eastAsia="仿宋" w:cs="仿宋"/>
          <w:i w:val="0"/>
          <w:caps w:val="0"/>
          <w:color w:val="333333"/>
          <w:spacing w:val="0"/>
          <w:sz w:val="32"/>
          <w:szCs w:val="32"/>
          <w:lang w:eastAsia="zh-CN"/>
        </w:rPr>
        <w:t>万元、福利费</w:t>
      </w:r>
      <w:r>
        <w:rPr>
          <w:rFonts w:hint="eastAsia" w:ascii="仿宋" w:hAnsi="仿宋" w:eastAsia="仿宋" w:cs="仿宋"/>
          <w:i w:val="0"/>
          <w:caps w:val="0"/>
          <w:color w:val="333333"/>
          <w:spacing w:val="0"/>
          <w:sz w:val="32"/>
          <w:szCs w:val="32"/>
          <w:lang w:val="en-US" w:eastAsia="zh-CN"/>
        </w:rPr>
        <w:t>34.73</w:t>
      </w:r>
      <w:r>
        <w:rPr>
          <w:rFonts w:hint="eastAsia" w:ascii="仿宋" w:hAnsi="仿宋" w:eastAsia="仿宋" w:cs="仿宋"/>
          <w:i w:val="0"/>
          <w:caps w:val="0"/>
          <w:color w:val="333333"/>
          <w:spacing w:val="0"/>
          <w:sz w:val="32"/>
          <w:szCs w:val="32"/>
          <w:lang w:eastAsia="zh-CN"/>
        </w:rPr>
        <w:t>万元、公务用车运行维护费</w:t>
      </w:r>
      <w:r>
        <w:rPr>
          <w:rFonts w:hint="eastAsia" w:ascii="仿宋" w:hAnsi="仿宋" w:eastAsia="仿宋" w:cs="仿宋"/>
          <w:i w:val="0"/>
          <w:caps w:val="0"/>
          <w:color w:val="333333"/>
          <w:spacing w:val="0"/>
          <w:sz w:val="32"/>
          <w:szCs w:val="32"/>
          <w:lang w:val="en-US" w:eastAsia="zh-CN"/>
        </w:rPr>
        <w:t>16</w:t>
      </w:r>
      <w:r>
        <w:rPr>
          <w:rFonts w:hint="eastAsia" w:ascii="仿宋" w:hAnsi="仿宋" w:eastAsia="仿宋" w:cs="仿宋"/>
          <w:i w:val="0"/>
          <w:caps w:val="0"/>
          <w:color w:val="333333"/>
          <w:spacing w:val="0"/>
          <w:sz w:val="32"/>
          <w:szCs w:val="32"/>
          <w:lang w:eastAsia="zh-CN"/>
        </w:rPr>
        <w:t>万元、其他交通费用</w:t>
      </w:r>
      <w:r>
        <w:rPr>
          <w:rFonts w:hint="eastAsia" w:ascii="仿宋" w:hAnsi="仿宋" w:eastAsia="仿宋" w:cs="仿宋"/>
          <w:i w:val="0"/>
          <w:caps w:val="0"/>
          <w:color w:val="333333"/>
          <w:spacing w:val="0"/>
          <w:sz w:val="32"/>
          <w:szCs w:val="32"/>
          <w:lang w:val="en-US" w:eastAsia="zh-CN"/>
        </w:rPr>
        <w:t>70.12</w:t>
      </w:r>
      <w:r>
        <w:rPr>
          <w:rFonts w:hint="eastAsia" w:ascii="仿宋" w:hAnsi="仿宋" w:eastAsia="仿宋" w:cs="仿宋"/>
          <w:i w:val="0"/>
          <w:caps w:val="0"/>
          <w:color w:val="333333"/>
          <w:spacing w:val="0"/>
          <w:sz w:val="32"/>
          <w:szCs w:val="32"/>
          <w:lang w:eastAsia="zh-CN"/>
        </w:rPr>
        <w:t>万元、其他商品和服务支出</w:t>
      </w:r>
      <w:r>
        <w:rPr>
          <w:rFonts w:hint="eastAsia" w:ascii="仿宋" w:hAnsi="仿宋" w:eastAsia="仿宋" w:cs="仿宋"/>
          <w:i w:val="0"/>
          <w:caps w:val="0"/>
          <w:color w:val="333333"/>
          <w:spacing w:val="0"/>
          <w:sz w:val="32"/>
          <w:szCs w:val="32"/>
          <w:lang w:val="en-US" w:eastAsia="zh-CN"/>
        </w:rPr>
        <w:t>106.74</w:t>
      </w:r>
      <w:r>
        <w:rPr>
          <w:rFonts w:hint="eastAsia" w:ascii="仿宋" w:hAnsi="仿宋" w:eastAsia="仿宋" w:cs="仿宋"/>
          <w:i w:val="0"/>
          <w:caps w:val="0"/>
          <w:color w:val="333333"/>
          <w:spacing w:val="0"/>
          <w:sz w:val="32"/>
          <w:szCs w:val="32"/>
          <w:lang w:eastAsia="zh-CN"/>
        </w:rPr>
        <w:t>万元、办公设备购置费</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万元。占预算总额的</w:t>
      </w:r>
      <w:r>
        <w:rPr>
          <w:rFonts w:hint="eastAsia" w:ascii="仿宋" w:hAnsi="仿宋" w:eastAsia="仿宋" w:cs="仿宋"/>
          <w:i w:val="0"/>
          <w:caps w:val="0"/>
          <w:color w:val="333333"/>
          <w:spacing w:val="0"/>
          <w:sz w:val="32"/>
          <w:szCs w:val="32"/>
          <w:lang w:val="en-US" w:eastAsia="zh-CN"/>
        </w:rPr>
        <w:t>3.36</w:t>
      </w:r>
      <w:r>
        <w:rPr>
          <w:rFonts w:hint="eastAsia" w:ascii="仿宋" w:hAnsi="仿宋" w:eastAsia="仿宋" w:cs="仿宋"/>
          <w:i w:val="0"/>
          <w:caps w:val="0"/>
          <w:color w:val="333333"/>
          <w:spacing w:val="0"/>
          <w:sz w:val="32"/>
          <w:szCs w:val="32"/>
          <w:lang w:eastAsia="zh-CN"/>
        </w:rPr>
        <w:t>%，比上年减少</w:t>
      </w:r>
      <w:r>
        <w:rPr>
          <w:rFonts w:hint="eastAsia" w:ascii="仿宋" w:hAnsi="仿宋" w:eastAsia="仿宋" w:cs="仿宋"/>
          <w:i w:val="0"/>
          <w:caps w:val="0"/>
          <w:color w:val="333333"/>
          <w:spacing w:val="0"/>
          <w:sz w:val="32"/>
          <w:szCs w:val="32"/>
          <w:lang w:val="en-US" w:eastAsia="zh-CN"/>
        </w:rPr>
        <w:t>40.82</w:t>
      </w:r>
      <w:r>
        <w:rPr>
          <w:rFonts w:hint="eastAsia" w:ascii="仿宋" w:hAnsi="仿宋" w:eastAsia="仿宋" w:cs="仿宋"/>
          <w:i w:val="0"/>
          <w:caps w:val="0"/>
          <w:color w:val="333333"/>
          <w:spacing w:val="0"/>
          <w:sz w:val="32"/>
          <w:szCs w:val="32"/>
          <w:lang w:eastAsia="zh-CN"/>
        </w:rPr>
        <w:t>万元,下降</w:t>
      </w:r>
      <w:r>
        <w:rPr>
          <w:rFonts w:hint="eastAsia" w:ascii="仿宋" w:hAnsi="仿宋" w:eastAsia="仿宋" w:cs="仿宋"/>
          <w:i w:val="0"/>
          <w:caps w:val="0"/>
          <w:color w:val="333333"/>
          <w:spacing w:val="0"/>
          <w:sz w:val="32"/>
          <w:szCs w:val="32"/>
          <w:lang w:val="en-US" w:eastAsia="zh-CN"/>
        </w:rPr>
        <w:t>10.98</w:t>
      </w:r>
      <w:r>
        <w:rPr>
          <w:rFonts w:hint="eastAsia" w:ascii="仿宋" w:hAnsi="仿宋" w:eastAsia="仿宋" w:cs="仿宋"/>
          <w:i w:val="0"/>
          <w:caps w:val="0"/>
          <w:color w:val="333333"/>
          <w:spacing w:val="0"/>
          <w:sz w:val="32"/>
          <w:szCs w:val="32"/>
          <w:lang w:eastAsia="zh-CN"/>
        </w:rPr>
        <w:t>%。下降原因：</w:t>
      </w:r>
      <w:r>
        <w:rPr>
          <w:rFonts w:hint="eastAsia" w:ascii="仿宋" w:hAnsi="仿宋" w:eastAsia="仿宋" w:cs="仿宋"/>
          <w:i w:val="0"/>
          <w:caps w:val="0"/>
          <w:color w:val="333333"/>
          <w:spacing w:val="0"/>
          <w:sz w:val="32"/>
          <w:szCs w:val="32"/>
          <w:lang w:val="en-US" w:eastAsia="zh-CN"/>
        </w:rPr>
        <w:t>2024年机构改革后西凉湖管理局及农业执法支队划转至其他部门，人员及机关运行经费减少</w:t>
      </w:r>
      <w:r>
        <w:rPr>
          <w:rFonts w:hint="eastAsia" w:ascii="仿宋" w:hAnsi="仿宋" w:eastAsia="仿宋" w:cs="仿宋"/>
          <w:i w:val="0"/>
          <w:caps w:val="0"/>
          <w:color w:val="333333"/>
          <w:spacing w:val="0"/>
          <w:sz w:val="32"/>
          <w:szCs w:val="32"/>
          <w:lang w:eastAsia="zh-CN"/>
        </w:rPr>
        <w:t>。</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9" w:name="_Toc17324"/>
      <w:r>
        <w:rPr>
          <w:rFonts w:hint="eastAsia" w:ascii="微软雅黑" w:hAnsi="微软雅黑" w:eastAsia="微软雅黑" w:cs="微软雅黑"/>
          <w:i w:val="0"/>
          <w:caps w:val="0"/>
          <w:color w:val="333333"/>
          <w:spacing w:val="0"/>
          <w:sz w:val="32"/>
          <w:szCs w:val="32"/>
          <w:lang w:eastAsia="zh-CN"/>
        </w:rPr>
        <w:t>“三公”经费安排及增减变化情况说明</w:t>
      </w:r>
      <w:bookmarkEnd w:id="9"/>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咸宁市农业农村局2025年“三公”经费预算</w:t>
      </w:r>
      <w:r>
        <w:rPr>
          <w:rFonts w:hint="eastAsia" w:ascii="仿宋" w:hAnsi="仿宋" w:eastAsia="仿宋" w:cs="仿宋"/>
          <w:i w:val="0"/>
          <w:caps w:val="0"/>
          <w:color w:val="333333"/>
          <w:spacing w:val="0"/>
          <w:sz w:val="32"/>
          <w:szCs w:val="32"/>
          <w:lang w:val="en-US" w:eastAsia="zh-CN"/>
        </w:rPr>
        <w:t>22.85</w:t>
      </w:r>
      <w:r>
        <w:rPr>
          <w:rFonts w:hint="eastAsia" w:ascii="仿宋" w:hAnsi="仿宋" w:eastAsia="仿宋" w:cs="仿宋"/>
          <w:i w:val="0"/>
          <w:caps w:val="0"/>
          <w:color w:val="333333"/>
          <w:spacing w:val="0"/>
          <w:sz w:val="32"/>
          <w:szCs w:val="32"/>
          <w:lang w:eastAsia="zh-CN"/>
        </w:rPr>
        <w:t>万元（含局机关</w:t>
      </w:r>
      <w:r>
        <w:rPr>
          <w:rFonts w:hint="eastAsia" w:ascii="仿宋" w:hAnsi="仿宋" w:eastAsia="仿宋" w:cs="仿宋"/>
          <w:i w:val="0"/>
          <w:caps w:val="0"/>
          <w:color w:val="333333"/>
          <w:spacing w:val="0"/>
          <w:sz w:val="32"/>
          <w:szCs w:val="32"/>
          <w:lang w:val="en-US" w:eastAsia="zh-CN"/>
        </w:rPr>
        <w:t>19.8</w:t>
      </w:r>
      <w:r>
        <w:rPr>
          <w:rFonts w:hint="eastAsia" w:ascii="仿宋" w:hAnsi="仿宋" w:eastAsia="仿宋" w:cs="仿宋"/>
          <w:i w:val="0"/>
          <w:caps w:val="0"/>
          <w:color w:val="333333"/>
          <w:spacing w:val="0"/>
          <w:sz w:val="32"/>
          <w:szCs w:val="32"/>
          <w:lang w:eastAsia="zh-CN"/>
        </w:rPr>
        <w:t>万元、所属单位</w:t>
      </w:r>
      <w:r>
        <w:rPr>
          <w:rFonts w:hint="eastAsia" w:ascii="仿宋" w:hAnsi="仿宋" w:eastAsia="仿宋" w:cs="仿宋"/>
          <w:i w:val="0"/>
          <w:caps w:val="0"/>
          <w:color w:val="333333"/>
          <w:spacing w:val="0"/>
          <w:sz w:val="32"/>
          <w:szCs w:val="32"/>
          <w:lang w:val="en-US" w:eastAsia="zh-CN"/>
        </w:rPr>
        <w:t>3.05</w:t>
      </w:r>
      <w:r>
        <w:rPr>
          <w:rFonts w:hint="eastAsia" w:ascii="仿宋" w:hAnsi="仿宋" w:eastAsia="仿宋" w:cs="仿宋"/>
          <w:i w:val="0"/>
          <w:caps w:val="0"/>
          <w:color w:val="333333"/>
          <w:spacing w:val="0"/>
          <w:sz w:val="32"/>
          <w:szCs w:val="32"/>
          <w:lang w:eastAsia="zh-CN"/>
        </w:rPr>
        <w:t>万元），占预算总额的</w:t>
      </w:r>
      <w:r>
        <w:rPr>
          <w:rFonts w:hint="eastAsia" w:ascii="仿宋" w:hAnsi="仿宋" w:eastAsia="仿宋" w:cs="仿宋"/>
          <w:i w:val="0"/>
          <w:caps w:val="0"/>
          <w:color w:val="333333"/>
          <w:spacing w:val="0"/>
          <w:sz w:val="32"/>
          <w:szCs w:val="32"/>
          <w:lang w:val="en-US" w:eastAsia="zh-CN"/>
        </w:rPr>
        <w:t>0.23</w:t>
      </w:r>
      <w:r>
        <w:rPr>
          <w:rFonts w:hint="eastAsia" w:ascii="仿宋" w:hAnsi="仿宋" w:eastAsia="仿宋" w:cs="仿宋"/>
          <w:i w:val="0"/>
          <w:caps w:val="0"/>
          <w:color w:val="333333"/>
          <w:spacing w:val="0"/>
          <w:sz w:val="32"/>
          <w:szCs w:val="32"/>
          <w:lang w:eastAsia="zh-CN"/>
        </w:rPr>
        <w:t>%，比上年增加</w:t>
      </w:r>
      <w:r>
        <w:rPr>
          <w:rFonts w:hint="eastAsia" w:ascii="仿宋" w:hAnsi="仿宋" w:eastAsia="仿宋" w:cs="仿宋"/>
          <w:i w:val="0"/>
          <w:caps w:val="0"/>
          <w:color w:val="333333"/>
          <w:spacing w:val="0"/>
          <w:sz w:val="32"/>
          <w:szCs w:val="32"/>
          <w:lang w:val="en-US" w:eastAsia="zh-CN"/>
        </w:rPr>
        <w:t>1.85</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8.81</w:t>
      </w:r>
      <w:r>
        <w:rPr>
          <w:rFonts w:hint="eastAsia" w:ascii="仿宋" w:hAnsi="仿宋" w:eastAsia="仿宋" w:cs="仿宋"/>
          <w:i w:val="0"/>
          <w:caps w:val="0"/>
          <w:color w:val="333333"/>
          <w:spacing w:val="0"/>
          <w:sz w:val="32"/>
          <w:szCs w:val="32"/>
          <w:lang w:eastAsia="zh-CN"/>
        </w:rPr>
        <w:t>%。增长原因：公务接待费用减少</w:t>
      </w:r>
      <w:r>
        <w:rPr>
          <w:rFonts w:hint="eastAsia" w:ascii="仿宋" w:hAnsi="仿宋" w:eastAsia="仿宋" w:cs="仿宋"/>
          <w:i w:val="0"/>
          <w:caps w:val="0"/>
          <w:color w:val="333333"/>
          <w:spacing w:val="0"/>
          <w:sz w:val="32"/>
          <w:szCs w:val="32"/>
          <w:lang w:val="en-US" w:eastAsia="zh-CN"/>
        </w:rPr>
        <w:t>2.15万元、2024年局机关更新购置一台公务用车、改革划入一台公务用车，公务用车运行维护费增加4万元，两者相抵，“三公”经费预算较上年增加了1.85万元。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因公出国（境）费用</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万元，较上年无变化。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公务用车运行维护费</w:t>
      </w:r>
      <w:r>
        <w:rPr>
          <w:rFonts w:hint="eastAsia" w:ascii="仿宋" w:hAnsi="仿宋" w:eastAsia="仿宋" w:cs="仿宋"/>
          <w:i w:val="0"/>
          <w:caps w:val="0"/>
          <w:color w:val="333333"/>
          <w:spacing w:val="0"/>
          <w:sz w:val="32"/>
          <w:szCs w:val="32"/>
          <w:lang w:val="en-US" w:eastAsia="zh-CN"/>
        </w:rPr>
        <w:t>16</w:t>
      </w:r>
      <w:r>
        <w:rPr>
          <w:rFonts w:hint="eastAsia" w:ascii="仿宋" w:hAnsi="仿宋" w:eastAsia="仿宋" w:cs="仿宋"/>
          <w:i w:val="0"/>
          <w:caps w:val="0"/>
          <w:color w:val="333333"/>
          <w:spacing w:val="0"/>
          <w:sz w:val="32"/>
          <w:szCs w:val="32"/>
          <w:lang w:eastAsia="zh-CN"/>
        </w:rPr>
        <w:t>万元，比上年增加</w:t>
      </w:r>
      <w:r>
        <w:rPr>
          <w:rFonts w:hint="eastAsia" w:ascii="仿宋" w:hAnsi="仿宋" w:eastAsia="仿宋" w:cs="仿宋"/>
          <w:i w:val="0"/>
          <w:caps w:val="0"/>
          <w:color w:val="333333"/>
          <w:spacing w:val="0"/>
          <w:sz w:val="32"/>
          <w:szCs w:val="32"/>
          <w:lang w:val="en-US" w:eastAsia="zh-CN"/>
        </w:rPr>
        <w:t>4</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33.33</w:t>
      </w:r>
      <w:r>
        <w:rPr>
          <w:rFonts w:hint="eastAsia" w:ascii="仿宋" w:hAnsi="仿宋" w:eastAsia="仿宋" w:cs="仿宋"/>
          <w:i w:val="0"/>
          <w:caps w:val="0"/>
          <w:color w:val="333333"/>
          <w:spacing w:val="0"/>
          <w:sz w:val="32"/>
          <w:szCs w:val="32"/>
          <w:lang w:eastAsia="zh-CN"/>
        </w:rPr>
        <w:t>%。增长原因：</w:t>
      </w:r>
      <w:r>
        <w:rPr>
          <w:rFonts w:hint="eastAsia" w:ascii="仿宋" w:hAnsi="仿宋" w:eastAsia="仿宋" w:cs="仿宋"/>
          <w:i w:val="0"/>
          <w:caps w:val="0"/>
          <w:color w:val="333333"/>
          <w:spacing w:val="0"/>
          <w:sz w:val="32"/>
          <w:szCs w:val="32"/>
          <w:lang w:val="en-US" w:eastAsia="zh-CN"/>
        </w:rPr>
        <w:t>2024年机构改革局机关划入一台公务用车，公务用车运行维护费增加。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公务用车购置费</w:t>
      </w:r>
      <w:r>
        <w:rPr>
          <w:rFonts w:hint="eastAsia" w:ascii="仿宋" w:hAnsi="仿宋" w:eastAsia="仿宋" w:cs="仿宋"/>
          <w:i w:val="0"/>
          <w:caps w:val="0"/>
          <w:color w:val="333333"/>
          <w:spacing w:val="0"/>
          <w:sz w:val="32"/>
          <w:szCs w:val="32"/>
          <w:lang w:val="en-US" w:eastAsia="zh-CN"/>
        </w:rPr>
        <w:t>0</w:t>
      </w:r>
      <w:r>
        <w:rPr>
          <w:rFonts w:hint="eastAsia" w:ascii="仿宋" w:hAnsi="仿宋" w:eastAsia="仿宋" w:cs="仿宋"/>
          <w:i w:val="0"/>
          <w:caps w:val="0"/>
          <w:color w:val="333333"/>
          <w:spacing w:val="0"/>
          <w:sz w:val="32"/>
          <w:szCs w:val="32"/>
          <w:lang w:eastAsia="zh-CN"/>
        </w:rPr>
        <w:t>万元，较上年无变化。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eastAsia="zh-CN"/>
        </w:rPr>
        <w:t>公务接待费</w:t>
      </w:r>
      <w:r>
        <w:rPr>
          <w:rFonts w:hint="eastAsia" w:ascii="仿宋" w:hAnsi="仿宋" w:eastAsia="仿宋" w:cs="仿宋"/>
          <w:b/>
          <w:bCs/>
          <w:i w:val="0"/>
          <w:caps w:val="0"/>
          <w:color w:val="333333"/>
          <w:spacing w:val="0"/>
          <w:sz w:val="32"/>
          <w:szCs w:val="32"/>
          <w:lang w:val="en-US" w:eastAsia="zh-CN"/>
        </w:rPr>
        <w:t>6.85</w:t>
      </w:r>
      <w:r>
        <w:rPr>
          <w:rFonts w:hint="eastAsia" w:ascii="仿宋" w:hAnsi="仿宋" w:eastAsia="仿宋" w:cs="仿宋"/>
          <w:i w:val="0"/>
          <w:caps w:val="0"/>
          <w:color w:val="333333"/>
          <w:spacing w:val="0"/>
          <w:sz w:val="32"/>
          <w:szCs w:val="32"/>
          <w:lang w:eastAsia="zh-CN"/>
        </w:rPr>
        <w:t>万元（局机关</w:t>
      </w:r>
      <w:r>
        <w:rPr>
          <w:rFonts w:hint="eastAsia" w:ascii="仿宋" w:hAnsi="仿宋" w:eastAsia="仿宋" w:cs="仿宋"/>
          <w:i w:val="0"/>
          <w:caps w:val="0"/>
          <w:color w:val="333333"/>
          <w:spacing w:val="0"/>
          <w:sz w:val="32"/>
          <w:szCs w:val="32"/>
          <w:lang w:val="en-US" w:eastAsia="zh-CN"/>
        </w:rPr>
        <w:t>3.8万元，局属二级单位3.05万元</w:t>
      </w:r>
      <w:r>
        <w:rPr>
          <w:rFonts w:hint="eastAsia" w:ascii="仿宋" w:hAnsi="仿宋" w:eastAsia="仿宋" w:cs="仿宋"/>
          <w:i w:val="0"/>
          <w:caps w:val="0"/>
          <w:color w:val="333333"/>
          <w:spacing w:val="0"/>
          <w:sz w:val="32"/>
          <w:szCs w:val="32"/>
          <w:lang w:eastAsia="zh-CN"/>
        </w:rPr>
        <w:t>），比上年减少</w:t>
      </w:r>
      <w:r>
        <w:rPr>
          <w:rFonts w:hint="eastAsia" w:ascii="仿宋" w:hAnsi="仿宋" w:eastAsia="仿宋" w:cs="仿宋"/>
          <w:i w:val="0"/>
          <w:caps w:val="0"/>
          <w:color w:val="333333"/>
          <w:spacing w:val="0"/>
          <w:sz w:val="32"/>
          <w:szCs w:val="32"/>
          <w:lang w:val="en-US" w:eastAsia="zh-CN"/>
        </w:rPr>
        <w:t>2.15</w:t>
      </w:r>
      <w:r>
        <w:rPr>
          <w:rFonts w:hint="eastAsia" w:ascii="仿宋" w:hAnsi="仿宋" w:eastAsia="仿宋" w:cs="仿宋"/>
          <w:i w:val="0"/>
          <w:caps w:val="0"/>
          <w:color w:val="333333"/>
          <w:spacing w:val="0"/>
          <w:sz w:val="32"/>
          <w:szCs w:val="32"/>
          <w:lang w:eastAsia="zh-CN"/>
        </w:rPr>
        <w:t>万元,下降</w:t>
      </w:r>
      <w:r>
        <w:rPr>
          <w:rFonts w:hint="eastAsia" w:ascii="仿宋" w:hAnsi="仿宋" w:eastAsia="仿宋" w:cs="仿宋"/>
          <w:i w:val="0"/>
          <w:caps w:val="0"/>
          <w:color w:val="333333"/>
          <w:spacing w:val="0"/>
          <w:sz w:val="32"/>
          <w:szCs w:val="32"/>
          <w:lang w:val="en-US" w:eastAsia="zh-CN"/>
        </w:rPr>
        <w:t>23.89</w:t>
      </w:r>
      <w:r>
        <w:rPr>
          <w:rFonts w:hint="eastAsia" w:ascii="仿宋" w:hAnsi="仿宋" w:eastAsia="仿宋" w:cs="仿宋"/>
          <w:i w:val="0"/>
          <w:caps w:val="0"/>
          <w:color w:val="333333"/>
          <w:spacing w:val="0"/>
          <w:sz w:val="32"/>
          <w:szCs w:val="32"/>
          <w:lang w:eastAsia="zh-CN"/>
        </w:rPr>
        <w:t>%。下降原因：按照中央八项规定要求，坚持勤俭节约的原则，厉行节约，压缩公务接待支出。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0" w:name="_Toc3295"/>
      <w:r>
        <w:rPr>
          <w:rFonts w:hint="eastAsia" w:ascii="微软雅黑" w:hAnsi="微软雅黑" w:eastAsia="微软雅黑" w:cs="微软雅黑"/>
          <w:i w:val="0"/>
          <w:caps w:val="0"/>
          <w:color w:val="333333"/>
          <w:spacing w:val="0"/>
          <w:sz w:val="32"/>
          <w:szCs w:val="32"/>
          <w:lang w:eastAsia="zh-CN"/>
        </w:rPr>
        <w:t>（四）政府采购预算安排及增减变化情况说明</w:t>
      </w:r>
      <w:bookmarkEnd w:id="1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咸宁市农业农村局严格按照《中华人民共和国政府采购法》</w:t>
      </w:r>
      <w:r>
        <w:rPr>
          <w:rFonts w:hint="eastAsia" w:ascii="仿宋" w:hAnsi="仿宋" w:eastAsia="仿宋" w:cs="仿宋"/>
          <w:i w:val="0"/>
          <w:caps w:val="0"/>
          <w:color w:val="auto"/>
          <w:spacing w:val="0"/>
          <w:sz w:val="32"/>
          <w:szCs w:val="32"/>
          <w:lang w:eastAsia="zh-CN"/>
        </w:rPr>
        <w:t>《咸宁市2025年政府集中采购目录及标准》</w:t>
      </w:r>
      <w:r>
        <w:rPr>
          <w:rFonts w:hint="eastAsia" w:ascii="仿宋" w:hAnsi="仿宋" w:eastAsia="仿宋" w:cs="仿宋"/>
          <w:i w:val="0"/>
          <w:caps w:val="0"/>
          <w:color w:val="333333"/>
          <w:spacing w:val="0"/>
          <w:sz w:val="32"/>
          <w:szCs w:val="32"/>
          <w:lang w:eastAsia="zh-CN"/>
        </w:rPr>
        <w:t>有关规定，切实做到“应编尽编，应采尽采”。2025年，我单位政府采购预算</w:t>
      </w:r>
      <w:r>
        <w:rPr>
          <w:rFonts w:hint="eastAsia" w:ascii="仿宋" w:hAnsi="仿宋" w:eastAsia="仿宋" w:cs="仿宋"/>
          <w:i w:val="0"/>
          <w:caps w:val="0"/>
          <w:color w:val="333333"/>
          <w:spacing w:val="0"/>
          <w:sz w:val="32"/>
          <w:szCs w:val="32"/>
          <w:lang w:val="en-US" w:eastAsia="zh-CN"/>
        </w:rPr>
        <w:t>305</w:t>
      </w:r>
      <w:r>
        <w:rPr>
          <w:rFonts w:hint="eastAsia" w:ascii="仿宋" w:hAnsi="仿宋" w:eastAsia="仿宋" w:cs="仿宋"/>
          <w:i w:val="0"/>
          <w:caps w:val="0"/>
          <w:color w:val="333333"/>
          <w:spacing w:val="0"/>
          <w:sz w:val="32"/>
          <w:szCs w:val="32"/>
          <w:lang w:eastAsia="zh-CN"/>
        </w:rPr>
        <w:t>万元，全部为局机关采购预算，</w:t>
      </w:r>
      <w:r>
        <w:rPr>
          <w:rFonts w:hint="eastAsia" w:ascii="仿宋" w:hAnsi="仿宋" w:eastAsia="仿宋" w:cs="仿宋"/>
          <w:i w:val="0"/>
          <w:caps w:val="0"/>
          <w:color w:val="auto"/>
          <w:spacing w:val="0"/>
          <w:sz w:val="32"/>
          <w:szCs w:val="32"/>
          <w:lang w:eastAsia="zh-CN"/>
        </w:rPr>
        <w:t>其中货物类采购预算</w:t>
      </w:r>
      <w:r>
        <w:rPr>
          <w:rFonts w:hint="eastAsia" w:ascii="仿宋" w:hAnsi="仿宋" w:eastAsia="仿宋" w:cs="仿宋"/>
          <w:i w:val="0"/>
          <w:caps w:val="0"/>
          <w:color w:val="auto"/>
          <w:spacing w:val="0"/>
          <w:sz w:val="32"/>
          <w:szCs w:val="32"/>
          <w:lang w:val="en-US" w:eastAsia="zh-CN"/>
        </w:rPr>
        <w:t>5</w:t>
      </w:r>
      <w:r>
        <w:rPr>
          <w:rFonts w:hint="eastAsia" w:ascii="仿宋" w:hAnsi="仿宋" w:eastAsia="仿宋" w:cs="仿宋"/>
          <w:i w:val="0"/>
          <w:caps w:val="0"/>
          <w:color w:val="auto"/>
          <w:spacing w:val="0"/>
          <w:sz w:val="32"/>
          <w:szCs w:val="32"/>
          <w:lang w:eastAsia="zh-CN"/>
        </w:rPr>
        <w:t>万元，工程类采购预算</w:t>
      </w:r>
      <w:r>
        <w:rPr>
          <w:rFonts w:hint="eastAsia" w:ascii="仿宋" w:hAnsi="仿宋" w:eastAsia="仿宋" w:cs="仿宋"/>
          <w:i w:val="0"/>
          <w:caps w:val="0"/>
          <w:color w:val="auto"/>
          <w:spacing w:val="0"/>
          <w:sz w:val="32"/>
          <w:szCs w:val="32"/>
          <w:lang w:val="en-US" w:eastAsia="zh-CN"/>
        </w:rPr>
        <w:t>0</w:t>
      </w:r>
      <w:r>
        <w:rPr>
          <w:rFonts w:hint="eastAsia" w:ascii="仿宋" w:hAnsi="仿宋" w:eastAsia="仿宋" w:cs="仿宋"/>
          <w:i w:val="0"/>
          <w:caps w:val="0"/>
          <w:color w:val="auto"/>
          <w:spacing w:val="0"/>
          <w:sz w:val="32"/>
          <w:szCs w:val="32"/>
          <w:lang w:eastAsia="zh-CN"/>
        </w:rPr>
        <w:t>万元，服务类采购预算</w:t>
      </w:r>
      <w:r>
        <w:rPr>
          <w:rFonts w:hint="eastAsia" w:ascii="仿宋" w:hAnsi="仿宋" w:eastAsia="仿宋" w:cs="仿宋"/>
          <w:i w:val="0"/>
          <w:caps w:val="0"/>
          <w:color w:val="auto"/>
          <w:spacing w:val="0"/>
          <w:sz w:val="32"/>
          <w:szCs w:val="32"/>
          <w:lang w:val="en-US" w:eastAsia="zh-CN"/>
        </w:rPr>
        <w:t>300</w:t>
      </w:r>
      <w:r>
        <w:rPr>
          <w:rFonts w:hint="eastAsia" w:ascii="仿宋" w:hAnsi="仿宋" w:eastAsia="仿宋" w:cs="仿宋"/>
          <w:i w:val="0"/>
          <w:caps w:val="0"/>
          <w:color w:val="auto"/>
          <w:spacing w:val="0"/>
          <w:sz w:val="32"/>
          <w:szCs w:val="32"/>
          <w:lang w:eastAsia="zh-CN"/>
        </w:rPr>
        <w:t>万元。</w:t>
      </w:r>
      <w:r>
        <w:rPr>
          <w:rFonts w:hint="eastAsia" w:ascii="仿宋" w:hAnsi="仿宋" w:eastAsia="仿宋" w:cs="仿宋"/>
          <w:i w:val="0"/>
          <w:caps w:val="0"/>
          <w:color w:val="333333"/>
          <w:spacing w:val="0"/>
          <w:sz w:val="32"/>
          <w:szCs w:val="32"/>
          <w:lang w:eastAsia="zh-CN"/>
        </w:rPr>
        <w:t>比上年增加</w:t>
      </w:r>
      <w:r>
        <w:rPr>
          <w:rFonts w:hint="eastAsia" w:ascii="仿宋" w:hAnsi="仿宋" w:eastAsia="仿宋" w:cs="仿宋"/>
          <w:i w:val="0"/>
          <w:caps w:val="0"/>
          <w:color w:val="333333"/>
          <w:spacing w:val="0"/>
          <w:sz w:val="32"/>
          <w:szCs w:val="32"/>
          <w:lang w:val="en-US" w:eastAsia="zh-CN"/>
        </w:rPr>
        <w:t>84.08</w:t>
      </w:r>
      <w:r>
        <w:rPr>
          <w:rFonts w:hint="eastAsia" w:ascii="仿宋" w:hAnsi="仿宋" w:eastAsia="仿宋" w:cs="仿宋"/>
          <w:i w:val="0"/>
          <w:caps w:val="0"/>
          <w:color w:val="333333"/>
          <w:spacing w:val="0"/>
          <w:sz w:val="32"/>
          <w:szCs w:val="32"/>
          <w:lang w:eastAsia="zh-CN"/>
        </w:rPr>
        <w:t>万元,增长</w:t>
      </w:r>
      <w:r>
        <w:rPr>
          <w:rFonts w:hint="eastAsia" w:ascii="仿宋" w:hAnsi="仿宋" w:eastAsia="仿宋" w:cs="仿宋"/>
          <w:i w:val="0"/>
          <w:caps w:val="0"/>
          <w:color w:val="333333"/>
          <w:spacing w:val="0"/>
          <w:sz w:val="32"/>
          <w:szCs w:val="32"/>
          <w:lang w:val="en-US" w:eastAsia="zh-CN"/>
        </w:rPr>
        <w:t>38.06</w:t>
      </w:r>
      <w:r>
        <w:rPr>
          <w:rFonts w:hint="eastAsia" w:ascii="仿宋" w:hAnsi="仿宋" w:eastAsia="仿宋" w:cs="仿宋"/>
          <w:i w:val="0"/>
          <w:caps w:val="0"/>
          <w:color w:val="333333"/>
          <w:spacing w:val="0"/>
          <w:sz w:val="32"/>
          <w:szCs w:val="32"/>
          <w:lang w:eastAsia="zh-CN"/>
        </w:rPr>
        <w:t>%。增长原因：按照有关要求，</w:t>
      </w:r>
      <w:r>
        <w:rPr>
          <w:rFonts w:hint="eastAsia" w:ascii="仿宋" w:hAnsi="仿宋" w:eastAsia="仿宋" w:cs="仿宋"/>
          <w:i w:val="0"/>
          <w:caps w:val="0"/>
          <w:color w:val="333333"/>
          <w:spacing w:val="0"/>
          <w:sz w:val="32"/>
          <w:szCs w:val="32"/>
          <w:lang w:val="en-US" w:eastAsia="zh-CN"/>
        </w:rPr>
        <w:t>2025年</w:t>
      </w:r>
      <w:r>
        <w:rPr>
          <w:rFonts w:hint="eastAsia" w:ascii="仿宋" w:hAnsi="仿宋" w:eastAsia="仿宋" w:cs="仿宋"/>
          <w:i w:val="0"/>
          <w:caps w:val="0"/>
          <w:color w:val="333333"/>
          <w:spacing w:val="0"/>
          <w:sz w:val="32"/>
          <w:szCs w:val="32"/>
          <w:lang w:eastAsia="zh-CN"/>
        </w:rPr>
        <w:t>高素质农民培育项目</w:t>
      </w:r>
      <w:r>
        <w:rPr>
          <w:rFonts w:hint="eastAsia" w:ascii="仿宋" w:hAnsi="仿宋" w:eastAsia="仿宋" w:cs="仿宋"/>
          <w:i w:val="0"/>
          <w:caps w:val="0"/>
          <w:color w:val="333333"/>
          <w:spacing w:val="0"/>
          <w:sz w:val="32"/>
          <w:szCs w:val="32"/>
          <w:lang w:val="en-US" w:eastAsia="zh-CN"/>
        </w:rPr>
        <w:t>300万元全部走政府采购和招投标程序。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11" w:name="_Toc22830"/>
      <w:r>
        <w:rPr>
          <w:rFonts w:hint="eastAsia" w:ascii="微软雅黑" w:hAnsi="微软雅黑" w:eastAsia="微软雅黑" w:cs="微软雅黑"/>
          <w:i w:val="0"/>
          <w:caps w:val="0"/>
          <w:color w:val="333333"/>
          <w:spacing w:val="0"/>
          <w:sz w:val="32"/>
          <w:szCs w:val="32"/>
          <w:lang w:eastAsia="zh-CN"/>
        </w:rPr>
        <w:t>（五）国有资产占用及增减变化情况说明</w:t>
      </w:r>
      <w:bookmarkEnd w:id="1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截至20</w:t>
      </w:r>
      <w:r>
        <w:rPr>
          <w:rFonts w:hint="eastAsia" w:ascii="仿宋" w:hAnsi="仿宋" w:eastAsia="仿宋" w:cs="仿宋"/>
          <w:i w:val="0"/>
          <w:caps w:val="0"/>
          <w:color w:val="auto"/>
          <w:spacing w:val="0"/>
          <w:sz w:val="32"/>
          <w:szCs w:val="32"/>
          <w:lang w:val="en-US" w:eastAsia="zh-CN"/>
        </w:rPr>
        <w:t>24</w:t>
      </w:r>
      <w:r>
        <w:rPr>
          <w:rFonts w:hint="eastAsia" w:ascii="仿宋" w:hAnsi="仿宋" w:eastAsia="仿宋" w:cs="仿宋"/>
          <w:i w:val="0"/>
          <w:caps w:val="0"/>
          <w:color w:val="auto"/>
          <w:spacing w:val="0"/>
          <w:sz w:val="32"/>
          <w:szCs w:val="32"/>
          <w:lang w:eastAsia="zh-CN"/>
        </w:rPr>
        <w:t>年12月31日，本部门保有车辆共有</w:t>
      </w:r>
      <w:r>
        <w:rPr>
          <w:rFonts w:hint="eastAsia" w:ascii="仿宋" w:hAnsi="仿宋" w:eastAsia="仿宋" w:cs="仿宋"/>
          <w:i w:val="0"/>
          <w:caps w:val="0"/>
          <w:color w:val="auto"/>
          <w:spacing w:val="0"/>
          <w:sz w:val="32"/>
          <w:szCs w:val="32"/>
          <w:lang w:val="en-US" w:eastAsia="zh-CN"/>
        </w:rPr>
        <w:t>6</w:t>
      </w:r>
      <w:r>
        <w:rPr>
          <w:rFonts w:hint="eastAsia" w:ascii="仿宋" w:hAnsi="仿宋" w:eastAsia="仿宋" w:cs="仿宋"/>
          <w:i w:val="0"/>
          <w:caps w:val="0"/>
          <w:color w:val="auto"/>
          <w:spacing w:val="0"/>
          <w:sz w:val="32"/>
          <w:szCs w:val="32"/>
          <w:lang w:eastAsia="zh-CN"/>
        </w:rPr>
        <w:t>辆（含局机关</w:t>
      </w:r>
      <w:r>
        <w:rPr>
          <w:rFonts w:hint="eastAsia" w:ascii="仿宋" w:hAnsi="仿宋" w:eastAsia="仿宋" w:cs="仿宋"/>
          <w:i w:val="0"/>
          <w:caps w:val="0"/>
          <w:color w:val="auto"/>
          <w:spacing w:val="0"/>
          <w:sz w:val="32"/>
          <w:szCs w:val="32"/>
          <w:lang w:val="en-US" w:eastAsia="zh-CN"/>
        </w:rPr>
        <w:t>4</w:t>
      </w:r>
      <w:r>
        <w:rPr>
          <w:rFonts w:hint="eastAsia" w:ascii="仿宋" w:hAnsi="仿宋" w:eastAsia="仿宋" w:cs="仿宋"/>
          <w:i w:val="0"/>
          <w:caps w:val="0"/>
          <w:color w:val="auto"/>
          <w:spacing w:val="0"/>
          <w:sz w:val="32"/>
          <w:szCs w:val="32"/>
          <w:lang w:eastAsia="zh-CN"/>
        </w:rPr>
        <w:t>辆、所属单位</w:t>
      </w:r>
      <w:r>
        <w:rPr>
          <w:rFonts w:hint="eastAsia" w:ascii="仿宋" w:hAnsi="仿宋" w:eastAsia="仿宋" w:cs="仿宋"/>
          <w:i w:val="0"/>
          <w:caps w:val="0"/>
          <w:color w:val="auto"/>
          <w:spacing w:val="0"/>
          <w:sz w:val="32"/>
          <w:szCs w:val="32"/>
          <w:lang w:val="en-US" w:eastAsia="zh-CN"/>
        </w:rPr>
        <w:t>2</w:t>
      </w:r>
      <w:r>
        <w:rPr>
          <w:rFonts w:hint="eastAsia" w:ascii="仿宋" w:hAnsi="仿宋" w:eastAsia="仿宋" w:cs="仿宋"/>
          <w:i w:val="0"/>
          <w:caps w:val="0"/>
          <w:color w:val="auto"/>
          <w:spacing w:val="0"/>
          <w:sz w:val="32"/>
          <w:szCs w:val="32"/>
          <w:lang w:eastAsia="zh-CN"/>
        </w:rPr>
        <w:t>辆），全部为应急保障公务用车。较20</w:t>
      </w:r>
      <w:r>
        <w:rPr>
          <w:rFonts w:hint="eastAsia" w:ascii="仿宋" w:hAnsi="仿宋" w:eastAsia="仿宋" w:cs="仿宋"/>
          <w:i w:val="0"/>
          <w:caps w:val="0"/>
          <w:color w:val="auto"/>
          <w:spacing w:val="0"/>
          <w:sz w:val="32"/>
          <w:szCs w:val="32"/>
          <w:lang w:val="en-US" w:eastAsia="zh-CN"/>
        </w:rPr>
        <w:t>24</w:t>
      </w:r>
      <w:r>
        <w:rPr>
          <w:rFonts w:hint="eastAsia" w:ascii="仿宋" w:hAnsi="仿宋" w:eastAsia="仿宋" w:cs="仿宋"/>
          <w:i w:val="0"/>
          <w:caps w:val="0"/>
          <w:color w:val="auto"/>
          <w:spacing w:val="0"/>
          <w:sz w:val="32"/>
          <w:szCs w:val="32"/>
          <w:lang w:eastAsia="zh-CN"/>
        </w:rPr>
        <w:t>年初增加</w:t>
      </w:r>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lang w:eastAsia="zh-CN"/>
        </w:rPr>
        <w:t>台应急保障公务用车，其他资产变化如下：</w:t>
      </w:r>
      <w:r>
        <w:rPr>
          <w:rFonts w:hint="eastAsia" w:ascii="仿宋" w:hAnsi="仿宋" w:eastAsia="仿宋" w:cs="仿宋"/>
          <w:i w:val="0"/>
          <w:caps w:val="0"/>
          <w:color w:val="auto"/>
          <w:spacing w:val="0"/>
          <w:sz w:val="32"/>
          <w:szCs w:val="32"/>
          <w:lang w:val="en-US" w:eastAsia="zh-CN"/>
        </w:rPr>
        <w:t>2024年机构改革后，原咸宁市乡村振兴局及农业执法支队资产部分划转至我单位，涉及金额分别为144.33万元、146.68万元，合计291.01万元</w:t>
      </w:r>
      <w:r>
        <w:rPr>
          <w:rFonts w:hint="eastAsia" w:ascii="仿宋" w:hAnsi="仿宋" w:eastAsia="仿宋" w:cs="仿宋"/>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12" w:name="_Toc1275"/>
      <w:r>
        <w:rPr>
          <w:rFonts w:hint="eastAsia" w:ascii="微软雅黑" w:hAnsi="微软雅黑" w:eastAsia="微软雅黑" w:cs="微软雅黑"/>
          <w:i w:val="0"/>
          <w:caps w:val="0"/>
          <w:color w:val="333333"/>
          <w:spacing w:val="0"/>
          <w:sz w:val="32"/>
          <w:szCs w:val="32"/>
          <w:lang w:eastAsia="zh-CN"/>
        </w:rPr>
        <w:t>（六）政府购买服务安排及增减变化情况说明</w:t>
      </w:r>
      <w:bookmarkEnd w:id="1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2025年，我单位政府购买服务预算</w:t>
      </w:r>
      <w:r>
        <w:rPr>
          <w:rFonts w:hint="eastAsia" w:ascii="仿宋" w:hAnsi="仿宋" w:eastAsia="仿宋" w:cs="仿宋"/>
          <w:i w:val="0"/>
          <w:caps w:val="0"/>
          <w:color w:val="333333"/>
          <w:spacing w:val="0"/>
          <w:sz w:val="32"/>
          <w:szCs w:val="32"/>
          <w:lang w:val="en-US" w:eastAsia="zh-CN"/>
        </w:rPr>
        <w:t>300</w:t>
      </w:r>
      <w:r>
        <w:rPr>
          <w:rFonts w:hint="eastAsia" w:ascii="仿宋" w:hAnsi="仿宋" w:eastAsia="仿宋" w:cs="仿宋"/>
          <w:i w:val="0"/>
          <w:caps w:val="0"/>
          <w:color w:val="333333"/>
          <w:spacing w:val="0"/>
          <w:sz w:val="32"/>
          <w:szCs w:val="32"/>
          <w:lang w:eastAsia="zh-CN"/>
        </w:rPr>
        <w:t>万元，全部为局机关采购预算。比上年增加</w:t>
      </w:r>
      <w:r>
        <w:rPr>
          <w:rFonts w:hint="eastAsia" w:ascii="仿宋" w:hAnsi="仿宋" w:eastAsia="仿宋" w:cs="仿宋"/>
          <w:i w:val="0"/>
          <w:caps w:val="0"/>
          <w:color w:val="333333"/>
          <w:spacing w:val="0"/>
          <w:sz w:val="32"/>
          <w:szCs w:val="32"/>
          <w:lang w:val="en-US" w:eastAsia="zh-CN"/>
        </w:rPr>
        <w:t>300</w:t>
      </w:r>
      <w:r>
        <w:rPr>
          <w:rFonts w:hint="eastAsia" w:ascii="仿宋" w:hAnsi="仿宋" w:eastAsia="仿宋" w:cs="仿宋"/>
          <w:i w:val="0"/>
          <w:caps w:val="0"/>
          <w:color w:val="333333"/>
          <w:spacing w:val="0"/>
          <w:sz w:val="32"/>
          <w:szCs w:val="32"/>
          <w:lang w:eastAsia="zh-CN"/>
        </w:rPr>
        <w:t>万元,增长原因：按照有关要求，</w:t>
      </w:r>
      <w:r>
        <w:rPr>
          <w:rFonts w:hint="eastAsia" w:ascii="仿宋" w:hAnsi="仿宋" w:eastAsia="仿宋" w:cs="仿宋"/>
          <w:i w:val="0"/>
          <w:caps w:val="0"/>
          <w:color w:val="333333"/>
          <w:spacing w:val="0"/>
          <w:sz w:val="32"/>
          <w:szCs w:val="32"/>
          <w:lang w:val="en-US" w:eastAsia="zh-CN"/>
        </w:rPr>
        <w:t>2025年</w:t>
      </w:r>
      <w:r>
        <w:rPr>
          <w:rFonts w:hint="eastAsia" w:ascii="仿宋" w:hAnsi="仿宋" w:eastAsia="仿宋" w:cs="仿宋"/>
          <w:i w:val="0"/>
          <w:caps w:val="0"/>
          <w:color w:val="333333"/>
          <w:spacing w:val="0"/>
          <w:sz w:val="32"/>
          <w:szCs w:val="32"/>
          <w:lang w:eastAsia="zh-CN"/>
        </w:rPr>
        <w:t>高素质农民培育项目</w:t>
      </w:r>
      <w:r>
        <w:rPr>
          <w:rFonts w:hint="eastAsia" w:ascii="仿宋" w:hAnsi="仿宋" w:eastAsia="仿宋" w:cs="仿宋"/>
          <w:i w:val="0"/>
          <w:caps w:val="0"/>
          <w:color w:val="333333"/>
          <w:spacing w:val="0"/>
          <w:sz w:val="32"/>
          <w:szCs w:val="32"/>
          <w:lang w:val="en-US" w:eastAsia="zh-CN"/>
        </w:rPr>
        <w:t>300万元全部走政府采购和招投标程序。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3" w:name="_Toc30232"/>
      <w:r>
        <w:rPr>
          <w:rFonts w:hint="eastAsia" w:ascii="微软雅黑" w:hAnsi="微软雅黑" w:eastAsia="微软雅黑" w:cs="微软雅黑"/>
          <w:i w:val="0"/>
          <w:caps w:val="0"/>
          <w:color w:val="333333"/>
          <w:spacing w:val="0"/>
          <w:sz w:val="32"/>
          <w:szCs w:val="32"/>
          <w:lang w:eastAsia="zh-CN"/>
        </w:rPr>
        <w:t>（七）政府性基金预算支出情况说明</w:t>
      </w:r>
      <w:bookmarkEnd w:id="1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本单位无政府性基金支出。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微软雅黑" w:hAnsi="微软雅黑" w:eastAsia="微软雅黑" w:cs="微软雅黑"/>
          <w:i w:val="0"/>
          <w:caps w:val="0"/>
          <w:color w:val="333333"/>
          <w:spacing w:val="0"/>
          <w:sz w:val="32"/>
          <w:szCs w:val="32"/>
          <w:lang w:eastAsia="zh-CN"/>
        </w:rPr>
      </w:pPr>
      <w:bookmarkStart w:id="14" w:name="_Toc4394"/>
      <w:r>
        <w:rPr>
          <w:rFonts w:hint="eastAsia" w:ascii="微软雅黑" w:hAnsi="微软雅黑" w:eastAsia="微软雅黑" w:cs="微软雅黑"/>
          <w:i w:val="0"/>
          <w:caps w:val="0"/>
          <w:color w:val="333333"/>
          <w:spacing w:val="0"/>
          <w:sz w:val="32"/>
          <w:szCs w:val="32"/>
          <w:lang w:eastAsia="zh-CN"/>
        </w:rPr>
        <w:t>（八）2025年部门预算绩效情况说明</w:t>
      </w:r>
      <w:bookmarkEnd w:id="1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部门预算绩效开展情况：2025年咸宁市农业农村局整部门项目支出</w:t>
      </w:r>
      <w:r>
        <w:rPr>
          <w:rFonts w:hint="eastAsia" w:ascii="仿宋" w:hAnsi="仿宋" w:eastAsia="仿宋" w:cs="仿宋"/>
          <w:i w:val="0"/>
          <w:caps w:val="0"/>
          <w:color w:val="333333"/>
          <w:spacing w:val="0"/>
          <w:sz w:val="32"/>
          <w:szCs w:val="32"/>
          <w:lang w:val="en-US" w:eastAsia="zh-CN"/>
        </w:rPr>
        <w:t>7110.5</w:t>
      </w:r>
      <w:r>
        <w:rPr>
          <w:rFonts w:hint="eastAsia" w:ascii="仿宋" w:hAnsi="仿宋" w:eastAsia="仿宋" w:cs="仿宋"/>
          <w:i w:val="0"/>
          <w:caps w:val="0"/>
          <w:color w:val="333333"/>
          <w:spacing w:val="0"/>
          <w:sz w:val="32"/>
          <w:szCs w:val="32"/>
          <w:lang w:eastAsia="zh-CN"/>
        </w:rPr>
        <w:t>万元，各项目均按照预算绩效管理工作的要求，开展绩效目标编制及评审、绩效监控、绩效评价等工作，并关注项目目标与预算内容、工作计划的一致性，形成了科学合理、规范完整且可量化、可评价的指标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sz w:val="32"/>
          <w:szCs w:val="32"/>
          <w:u w:val="single"/>
          <w:lang w:eastAsia="zh-CN"/>
        </w:rPr>
      </w:pPr>
      <w:r>
        <w:rPr>
          <w:rFonts w:hint="eastAsia" w:ascii="仿宋" w:hAnsi="仿宋" w:eastAsia="仿宋" w:cs="仿宋"/>
          <w:i w:val="0"/>
          <w:caps w:val="0"/>
          <w:color w:val="333333"/>
          <w:spacing w:val="0"/>
          <w:sz w:val="32"/>
          <w:szCs w:val="32"/>
          <w:u w:val="single"/>
          <w:lang w:eastAsia="zh-CN"/>
        </w:rPr>
        <w:t>重点项目预算的绩效目标</w:t>
      </w:r>
      <w:r>
        <w:rPr>
          <w:rFonts w:hint="eastAsia" w:ascii="仿宋" w:hAnsi="仿宋" w:eastAsia="仿宋" w:cs="仿宋"/>
          <w:i w:val="0"/>
          <w:caps w:val="0"/>
          <w:color w:val="333333"/>
          <w:spacing w:val="0"/>
          <w:sz w:val="32"/>
          <w:szCs w:val="32"/>
          <w:u w:val="none"/>
          <w:lang w:eastAsia="zh-CN"/>
        </w:rPr>
        <w:t>：</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b/>
          <w:bCs/>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咸宁市农业农村局本级项目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农业发展等指导督导工作经费：</w:t>
      </w:r>
      <w:r>
        <w:rPr>
          <w:rFonts w:hint="eastAsia" w:ascii="仿宋" w:hAnsi="仿宋" w:eastAsia="仿宋" w:cs="仿宋"/>
          <w:i w:val="0"/>
          <w:caps w:val="0"/>
          <w:color w:val="333333"/>
          <w:spacing w:val="0"/>
          <w:sz w:val="32"/>
          <w:szCs w:val="32"/>
          <w:lang w:eastAsia="zh-CN"/>
        </w:rPr>
        <w:t>推进乡村振兴战略，实施乡村建设行动，优化调整农业产业结构，提升现代农业综合竞争力，加快建设宜居宜业和美乡村，为打造武汉都市圈自然生态公园城市贡献“三农”力量。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全市农业产业化奖补资金：</w:t>
      </w:r>
      <w:r>
        <w:rPr>
          <w:rFonts w:hint="eastAsia" w:ascii="仿宋" w:hAnsi="仿宋" w:eastAsia="仿宋" w:cs="仿宋"/>
          <w:i w:val="0"/>
          <w:caps w:val="0"/>
          <w:color w:val="333333"/>
          <w:spacing w:val="0"/>
          <w:sz w:val="32"/>
          <w:szCs w:val="32"/>
          <w:lang w:eastAsia="zh-CN"/>
        </w:rPr>
        <w:t>围绕茶叶、蔬菜（莲）、 生猪（鸡禽及蛋制品）、中药材、特色淡水产品、油茶、竹、桂花 等 8 个农业主导产业链，到2025年全市市级及以上龙头企业达到335家、带动38万农户增收。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乡村振兴工作经费：</w:t>
      </w:r>
      <w:r>
        <w:rPr>
          <w:rFonts w:hint="eastAsia" w:ascii="仿宋" w:hAnsi="仿宋" w:eastAsia="仿宋" w:cs="仿宋"/>
          <w:i w:val="0"/>
          <w:caps w:val="0"/>
          <w:color w:val="333333"/>
          <w:spacing w:val="0"/>
          <w:sz w:val="32"/>
          <w:szCs w:val="32"/>
          <w:lang w:eastAsia="zh-CN"/>
        </w:rPr>
        <w:t>巩固脱贫攻坚成果，衔接乡村振兴工作，全市乡村振兴考核在全省取得优异成绩。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粮食安全及农田灌溉节水奖励：粮食产能得到巩固提升，粮食安全更有保障。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农产品质量安全监测：</w:t>
      </w:r>
      <w:r>
        <w:rPr>
          <w:rFonts w:hint="eastAsia" w:ascii="仿宋" w:hAnsi="仿宋" w:eastAsia="仿宋" w:cs="仿宋"/>
          <w:i w:val="0"/>
          <w:caps w:val="0"/>
          <w:color w:val="333333"/>
          <w:spacing w:val="0"/>
          <w:sz w:val="32"/>
          <w:szCs w:val="32"/>
          <w:lang w:eastAsia="zh-CN"/>
        </w:rPr>
        <w:t>确保农产品质量安全例行监测合格率98%以上，确保我市地产农产品质量安全隐患早发现、早预警、早处置。确保不发生重大农产品质量安全事件，切实保障人民群众“舌尖上的安全”。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高素质农民培育：</w:t>
      </w:r>
      <w:r>
        <w:rPr>
          <w:rFonts w:hint="eastAsia" w:ascii="仿宋" w:hAnsi="仿宋" w:eastAsia="仿宋" w:cs="仿宋"/>
          <w:i w:val="0"/>
          <w:caps w:val="0"/>
          <w:color w:val="333333"/>
          <w:spacing w:val="0"/>
          <w:sz w:val="32"/>
          <w:szCs w:val="32"/>
          <w:lang w:eastAsia="zh-CN"/>
        </w:rPr>
        <w:t>培育更多的有文化、懂技术、会经营、善管理的高素质农民，推动现代农业快速发展，做好乡村振兴人才保障。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驻村帮扶经费：</w:t>
      </w:r>
      <w:r>
        <w:rPr>
          <w:rFonts w:hint="eastAsia" w:ascii="仿宋" w:hAnsi="仿宋" w:eastAsia="仿宋" w:cs="仿宋"/>
          <w:i w:val="0"/>
          <w:caps w:val="0"/>
          <w:color w:val="333333"/>
          <w:spacing w:val="0"/>
          <w:sz w:val="32"/>
          <w:szCs w:val="32"/>
          <w:lang w:eastAsia="zh-CN"/>
        </w:rPr>
        <w:t>以脱贫村、脱贫户、脱贫人口为工作对象，帮扶措施到村到户，着力改善脱贫村的生产生活条件，提高脱贫人口的自我发展能力，改善脱贫困地区的发展环境，巩固拓展脱贫攻坚成果、全面推进乡村振兴。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村级组织运转：</w:t>
      </w:r>
      <w:r>
        <w:rPr>
          <w:rFonts w:hint="eastAsia" w:ascii="仿宋" w:hAnsi="仿宋" w:eastAsia="仿宋" w:cs="仿宋"/>
          <w:i w:val="0"/>
          <w:caps w:val="0"/>
          <w:color w:val="333333"/>
          <w:spacing w:val="0"/>
          <w:sz w:val="32"/>
          <w:szCs w:val="32"/>
          <w:lang w:eastAsia="zh-CN"/>
        </w:rPr>
        <w:t>提高村干部工作报酬，激发工作热情；保障村级党组织正常运转，提升基层党组织凝聚力号召力；保障村级干部工作报酬及村级运转经费，确保工作正常有序进行。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重大病虫害防治：</w:t>
      </w:r>
      <w:r>
        <w:rPr>
          <w:rFonts w:hint="eastAsia" w:ascii="仿宋" w:hAnsi="仿宋" w:eastAsia="仿宋" w:cs="仿宋"/>
          <w:i w:val="0"/>
          <w:caps w:val="0"/>
          <w:color w:val="333333"/>
          <w:spacing w:val="0"/>
          <w:sz w:val="32"/>
          <w:szCs w:val="32"/>
          <w:lang w:eastAsia="zh-CN"/>
        </w:rPr>
        <w:t>确保以粮食为重点的农作物病虫防治处置率达到90％，危害损失率控制在5％以下，其中稻飞虱等重大虫害连片绝收面积不得超过20亩。大力扶持专业化统防统治组织，积极推广绿色防控技术。水稻、小麦等主要农作物专业化统防统治覆盖率46％以上，农作物病虫害绿色防控覆盖率达到50％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化肥减量增效与耕地质量保护：</w:t>
      </w:r>
      <w:r>
        <w:rPr>
          <w:rFonts w:hint="eastAsia" w:ascii="仿宋" w:hAnsi="仿宋" w:eastAsia="仿宋" w:cs="仿宋"/>
          <w:i w:val="0"/>
          <w:caps w:val="0"/>
          <w:color w:val="333333"/>
          <w:spacing w:val="0"/>
          <w:sz w:val="32"/>
          <w:szCs w:val="32"/>
          <w:lang w:eastAsia="zh-CN"/>
        </w:rPr>
        <w:t>测土配方施肥技术覆盖率稳定在90%以上，耕地质量等级4.75以内。年均化肥使用量减少0.1%以上。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u w:val="dotDotDash"/>
          <w:lang w:eastAsia="zh-CN"/>
        </w:rPr>
        <w:t>农产品品牌计划及展会参展经费：</w:t>
      </w:r>
      <w:r>
        <w:rPr>
          <w:rFonts w:hint="eastAsia" w:ascii="仿宋" w:hAnsi="仿宋" w:eastAsia="仿宋" w:cs="仿宋"/>
          <w:i w:val="0"/>
          <w:caps w:val="0"/>
          <w:color w:val="333333"/>
          <w:spacing w:val="0"/>
          <w:sz w:val="32"/>
          <w:szCs w:val="32"/>
          <w:lang w:eastAsia="zh-CN"/>
        </w:rPr>
        <w:t>擦亮咸宁农产品品牌名片，做强咸宁桂花、赤壁青砖茶、嘉鱼莲藕、通城两头乌、崇阳黄精、通山枇杷等公共品牌。</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咸宁市农业环境保护站项目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农业外来入侵物种防治：</w:t>
      </w:r>
      <w:r>
        <w:rPr>
          <w:rFonts w:hint="eastAsia" w:ascii="仿宋" w:hAnsi="仿宋" w:eastAsia="仿宋" w:cs="仿宋"/>
          <w:i w:val="0"/>
          <w:caps w:val="0"/>
          <w:color w:val="333333"/>
          <w:spacing w:val="0"/>
          <w:sz w:val="32"/>
          <w:szCs w:val="32"/>
          <w:lang w:val="en-US" w:eastAsia="zh-CN"/>
        </w:rPr>
        <w:t>强化水生外来物种养殖环节监管，推进水葫芦、福寿螺、鳄雀鳝等水生外来入侵物种综合治理。加强对危害农业生态环境的紫茎泽兰、豚草等外来入侵恶性杂草的综合治理，加强生物防治和生物替代，稳妥开展灭除。普及外来入侵物种防控知识，提升基层人民外来物种入侵防控专业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“三品一标”创建与品牌建设：</w:t>
      </w:r>
      <w:r>
        <w:rPr>
          <w:rFonts w:hint="eastAsia" w:ascii="仿宋" w:hAnsi="仿宋" w:eastAsia="仿宋" w:cs="仿宋"/>
          <w:i w:val="0"/>
          <w:caps w:val="0"/>
          <w:color w:val="333333"/>
          <w:spacing w:val="0"/>
          <w:sz w:val="32"/>
          <w:szCs w:val="32"/>
          <w:lang w:val="en-US" w:eastAsia="zh-CN"/>
        </w:rPr>
        <w:t>提升“三品一标”认知度、确保认证产品质量安全水平稳步提高。</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咸宁市种业推广服务中心项目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油菜新品种推广示范：</w:t>
      </w:r>
      <w:r>
        <w:rPr>
          <w:rFonts w:hint="eastAsia" w:ascii="仿宋" w:hAnsi="仿宋" w:eastAsia="仿宋" w:cs="仿宋"/>
          <w:i w:val="0"/>
          <w:caps w:val="0"/>
          <w:color w:val="333333"/>
          <w:spacing w:val="0"/>
          <w:sz w:val="32"/>
          <w:szCs w:val="32"/>
          <w:lang w:val="en-US" w:eastAsia="zh-CN"/>
        </w:rPr>
        <w:t>示范区项目基地油菜籽亩产达到260斤，化肥、农药使用量比上年下降2.5%。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绿色种植模式（水稻-大球盖菇）推广应用：</w:t>
      </w:r>
      <w:r>
        <w:rPr>
          <w:rFonts w:hint="eastAsia" w:ascii="仿宋" w:hAnsi="仿宋" w:eastAsia="仿宋" w:cs="仿宋"/>
          <w:i w:val="0"/>
          <w:caps w:val="0"/>
          <w:color w:val="333333"/>
          <w:spacing w:val="0"/>
          <w:sz w:val="32"/>
          <w:szCs w:val="32"/>
          <w:lang w:val="en-US" w:eastAsia="zh-CN"/>
        </w:rPr>
        <w:t>将该模式的基本种植技术摸索到位，形成成熟的技术模式，在全市推广2-3个村进行该模式种植。</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咸宁市水产局项目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长江禁捕：</w:t>
      </w:r>
      <w:r>
        <w:rPr>
          <w:rFonts w:hint="eastAsia" w:ascii="仿宋" w:hAnsi="仿宋" w:eastAsia="仿宋" w:cs="仿宋"/>
          <w:i w:val="0"/>
          <w:caps w:val="0"/>
          <w:color w:val="333333"/>
          <w:spacing w:val="0"/>
          <w:sz w:val="32"/>
          <w:szCs w:val="32"/>
          <w:lang w:val="en-US" w:eastAsia="zh-CN"/>
        </w:rPr>
        <w:t>开展“十年禁渔”，恢复咸宁长江流域鱼类种群资源。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水产品质量安全：</w:t>
      </w:r>
      <w:r>
        <w:rPr>
          <w:rFonts w:hint="eastAsia" w:ascii="仿宋" w:hAnsi="仿宋" w:eastAsia="仿宋" w:cs="仿宋"/>
          <w:i w:val="0"/>
          <w:caps w:val="0"/>
          <w:color w:val="333333"/>
          <w:spacing w:val="0"/>
          <w:sz w:val="32"/>
          <w:szCs w:val="32"/>
          <w:lang w:val="en-US" w:eastAsia="zh-CN"/>
        </w:rPr>
        <w:t>切实保障水产品质量安全。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养殖尾水治理：</w:t>
      </w:r>
      <w:r>
        <w:rPr>
          <w:rFonts w:hint="eastAsia" w:ascii="仿宋" w:hAnsi="仿宋" w:eastAsia="仿宋" w:cs="仿宋"/>
          <w:i w:val="0"/>
          <w:caps w:val="0"/>
          <w:color w:val="333333"/>
          <w:spacing w:val="0"/>
          <w:sz w:val="32"/>
          <w:szCs w:val="32"/>
          <w:lang w:val="en-US" w:eastAsia="zh-CN"/>
        </w:rPr>
        <w:t>力争实现重点养殖区域池塘尾水早日实现达标排放。</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咸宁市畜牧兽医局项目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重大动物疫病防控及生态畜牧绿色发展：</w:t>
      </w:r>
      <w:r>
        <w:rPr>
          <w:rFonts w:hint="eastAsia" w:ascii="仿宋" w:hAnsi="仿宋" w:eastAsia="仿宋" w:cs="仿宋"/>
          <w:i w:val="0"/>
          <w:caps w:val="0"/>
          <w:color w:val="333333"/>
          <w:spacing w:val="0"/>
          <w:sz w:val="32"/>
          <w:szCs w:val="32"/>
          <w:lang w:val="en-US" w:eastAsia="zh-CN"/>
        </w:rPr>
        <w:t>畜牧生产稳步发展，绿色发展水平明显提升；有计划地控制、净化和消灭严重危害畜牧业生产和人民群众健康安全的动物疫病；完成兽药监督抽检和现场审核等兽药相关工作；保障人民群众畜产品消费安全。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种鸡场改制遗留事项：</w:t>
      </w:r>
      <w:r>
        <w:rPr>
          <w:rFonts w:hint="eastAsia" w:ascii="仿宋" w:hAnsi="仿宋" w:eastAsia="仿宋" w:cs="仿宋"/>
          <w:i w:val="0"/>
          <w:caps w:val="0"/>
          <w:color w:val="333333"/>
          <w:spacing w:val="0"/>
          <w:sz w:val="32"/>
          <w:szCs w:val="32"/>
          <w:lang w:val="en-US" w:eastAsia="zh-CN"/>
        </w:rPr>
        <w:t>农业小三场改革人员基本社会保障，保民生、保稳定。</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咸宁市动物疫病预防控制中心项目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u w:val="dotDotDash"/>
          <w:lang w:val="en-US" w:eastAsia="zh-CN"/>
        </w:rPr>
        <w:t>重大动物疫病和人畜共患病监测和诊断及流行病学调查：</w:t>
      </w:r>
      <w:r>
        <w:rPr>
          <w:rFonts w:hint="eastAsia" w:ascii="仿宋" w:hAnsi="仿宋" w:eastAsia="仿宋" w:cs="仿宋"/>
          <w:i w:val="0"/>
          <w:caps w:val="0"/>
          <w:color w:val="333333"/>
          <w:spacing w:val="0"/>
          <w:sz w:val="32"/>
          <w:szCs w:val="32"/>
          <w:lang w:val="en-US" w:eastAsia="zh-CN"/>
        </w:rPr>
        <w:t>保障人民群众和畜禽健康安全、人民财产安全，让人民群众吃上平价放心肉。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i w:val="0"/>
          <w:caps w:val="0"/>
          <w:color w:val="333333"/>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b/>
          <w:bCs/>
          <w:i w:val="0"/>
          <w:caps w:val="0"/>
          <w:color w:val="333333"/>
          <w:spacing w:val="0"/>
          <w:kern w:val="0"/>
          <w:sz w:val="32"/>
          <w:szCs w:val="32"/>
          <w:u w:val="single"/>
          <w:lang w:val="en-US" w:eastAsia="zh-CN" w:bidi="ar"/>
        </w:rPr>
      </w:pPr>
      <w:bookmarkStart w:id="15" w:name="_Toc20712"/>
      <w:r>
        <w:rPr>
          <w:rFonts w:hint="eastAsia" w:ascii="微软雅黑" w:hAnsi="微软雅黑" w:eastAsia="微软雅黑" w:cs="微软雅黑"/>
          <w:b/>
          <w:bCs/>
          <w:i w:val="0"/>
          <w:caps w:val="0"/>
          <w:color w:val="333333"/>
          <w:spacing w:val="0"/>
          <w:kern w:val="0"/>
          <w:sz w:val="32"/>
          <w:szCs w:val="32"/>
          <w:lang w:val="en-US" w:eastAsia="zh-CN" w:bidi="ar"/>
        </w:rPr>
        <w:t>第四部分 名词解释</w:t>
      </w:r>
      <w:bookmarkEnd w:id="1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6" w:name="_Toc2626"/>
      <w:r>
        <w:rPr>
          <w:rFonts w:hint="eastAsia" w:ascii="仿宋" w:hAnsi="仿宋" w:eastAsia="仿宋" w:cs="仿宋"/>
          <w:i w:val="0"/>
          <w:caps w:val="0"/>
          <w:color w:val="333333"/>
          <w:spacing w:val="0"/>
          <w:sz w:val="32"/>
          <w:szCs w:val="32"/>
          <w:lang w:eastAsia="zh-CN"/>
        </w:rPr>
        <w:t>（一）财政拨款收入：指市本级财政当年拨付的资金。</w:t>
      </w:r>
      <w:bookmarkEnd w:id="1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（二）上级专项补助收入：指除上述“财政拨款收入”等以外的上级财政部门交办任务相应安排的资金。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7" w:name="_Toc12840"/>
      <w:r>
        <w:rPr>
          <w:rFonts w:hint="eastAsia" w:ascii="仿宋" w:hAnsi="仿宋" w:eastAsia="仿宋" w:cs="仿宋"/>
          <w:i w:val="0"/>
          <w:caps w:val="0"/>
          <w:color w:val="333333"/>
          <w:spacing w:val="0"/>
          <w:sz w:val="32"/>
          <w:szCs w:val="32"/>
          <w:lang w:eastAsia="zh-CN"/>
        </w:rPr>
        <w:t>（三）上年结余（转）：指上年度结余转入经费。</w:t>
      </w:r>
      <w:bookmarkEnd w:id="1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（四）一般公共服务（类）行政运行（项）：指本部门机关及所属管理的事业单位用于保障机构正常运行、开展日常工作的基本支出。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五）社会保障和就业：包括社会保障和就业管理事务、行政事业单位离退休、企业改革补助、就业补助、抚恤、退役安置、社会福利、残疾人事务、城市居民最低生活保障、其他城镇社会救济、农村社会救济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（六）行政事业单位医疗：行政事业单位医疗方面的支出，包含财政部门安排的行政事业单位基本医疗保险缴费经费、公务员医疗补助。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仿宋" w:hAnsi="仿宋" w:eastAsia="仿宋" w:cs="仿宋"/>
          <w:i w:val="0"/>
          <w:caps w:val="0"/>
          <w:color w:val="333333"/>
          <w:spacing w:val="0"/>
          <w:sz w:val="32"/>
          <w:szCs w:val="32"/>
          <w:lang w:eastAsia="zh-CN"/>
        </w:rPr>
      </w:pPr>
      <w:bookmarkStart w:id="18" w:name="_Toc17798"/>
      <w:r>
        <w:rPr>
          <w:rFonts w:hint="eastAsia" w:ascii="仿宋" w:hAnsi="仿宋" w:eastAsia="仿宋" w:cs="仿宋"/>
          <w:i w:val="0"/>
          <w:caps w:val="0"/>
          <w:color w:val="333333"/>
          <w:spacing w:val="0"/>
          <w:sz w:val="32"/>
          <w:szCs w:val="32"/>
          <w:lang w:eastAsia="zh-CN"/>
        </w:rPr>
        <w:t>（七）农林水支出：反映政府农林水事务支出，包含以下方面：</w:t>
      </w:r>
      <w:bookmarkEnd w:id="1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科技转化与推广服务—反映用于农业科技成果转化，农业科技人才奖励，农业新品种、新机具、新技术引进、试验、示范、推广及服务，农村人居环境整治等方面的技术试验示范支出。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病虫害控制—反应用于病虫鼠害及疫情监测、预报、预防、控制、检疫、防疫所需的仪器、设施、药物、疫苗、种苗、疫畜（禽、鱼、植物）防治、扑杀补偿及劳务补助、菌（毒）种保藏及动植物及其产品检疫、检测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农产品质量安全—反映用于农产品及其投入品的质量安全评估、监测、抽查、认证、应急处置，相关标准的制定、修订、实施、监管等方面的支出。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农业生产发展—反映用于粮油生产保障、适度规模经营、农机购置与应用补贴、优势特色主导产业发展、畜牧水产发展、农村一二三产业融合等方面的支出。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农产品加工与促销—反映用于促进农产品加工、储藏、运输、国内外大型农产品展示、交易、产销衔接、开拓国内外农产品市场及农业产业化发展等方面的支出。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执法监管—反映用于农业农村法制建设、行政执法、行政复议、行政诉讼等方面的支出。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农业生态资源保护—反映用于草原草场利用，渔业水域资源环境保护，农业品种改良提升，以及农业生物资源调研收集、鉴定评价、保存利用等方面的支出。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耕地建设与利用—反映用于农田建设和田间水利相关工程建设、盐碱地综合利用、黑土地保护、耕地轮作休耕、耕地质量提升等方面的支出。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生产发展—反映用于农村欠发达地区中小学教育、文化、广播、电视、卫生健康等方面的项目支出。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（七）人员类项目支出：指部门和单位有关人员的工资福利支出、对个人和家庭的补助支出项目。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（八）运转类项目支出：指为保障部门单位自身正常运转、完成日常工作任务所发生的公用经费项目和专项用于大型公用设施、大型专用设备、专业信息系统运行维护等的其他运转类项目。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lang w:eastAsia="zh-CN"/>
        </w:rPr>
        <w:t>（九）特定目标类项目：是指部门和单位为完成其特定的工作任务和事业发展目标所发生的支出项目。除人员类项目和运转类项目外，其他预算项目作为特定目标类项目管理。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lang w:eastAsia="zh-CN"/>
        </w:rPr>
        <w:t>（十）“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幼圆">
    <w:altName w:val="仿宋"/>
    <w:panose1 w:val="02010509060101010101"/>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6D007"/>
    <w:multiLevelType w:val="singleLevel"/>
    <w:tmpl w:val="C4A6D007"/>
    <w:lvl w:ilvl="0" w:tentative="0">
      <w:start w:val="1"/>
      <w:numFmt w:val="decimal"/>
      <w:suff w:val="nothing"/>
      <w:lvlText w:val="%1、"/>
      <w:lvlJc w:val="left"/>
    </w:lvl>
  </w:abstractNum>
  <w:abstractNum w:abstractNumId="1">
    <w:nsid w:val="D258B10D"/>
    <w:multiLevelType w:val="singleLevel"/>
    <w:tmpl w:val="D258B10D"/>
    <w:lvl w:ilvl="0" w:tentative="0">
      <w:start w:val="1"/>
      <w:numFmt w:val="decimal"/>
      <w:suff w:val="nothing"/>
      <w:lvlText w:val="%1、"/>
      <w:lvlJc w:val="left"/>
    </w:lvl>
  </w:abstractNum>
  <w:abstractNum w:abstractNumId="2">
    <w:nsid w:val="F9E96A4F"/>
    <w:multiLevelType w:val="singleLevel"/>
    <w:tmpl w:val="F9E96A4F"/>
    <w:lvl w:ilvl="0" w:tentative="0">
      <w:start w:val="3"/>
      <w:numFmt w:val="chineseCounting"/>
      <w:suff w:val="space"/>
      <w:lvlText w:val="第%1部分"/>
      <w:lvlJc w:val="left"/>
      <w:rPr>
        <w:rFonts w:hint="eastAsia"/>
      </w:rPr>
    </w:lvl>
  </w:abstractNum>
  <w:abstractNum w:abstractNumId="3">
    <w:nsid w:val="73507820"/>
    <w:multiLevelType w:val="singleLevel"/>
    <w:tmpl w:val="73507820"/>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DI2Mjc2NzhiZDlkZmQ1MTEwYjU0MGMxZTBjOWMifQ=="/>
  </w:docVars>
  <w:rsids>
    <w:rsidRoot w:val="63EF0CEA"/>
    <w:rsid w:val="00E64A4E"/>
    <w:rsid w:val="00FF0EAC"/>
    <w:rsid w:val="016B1759"/>
    <w:rsid w:val="01AA727F"/>
    <w:rsid w:val="01B000EA"/>
    <w:rsid w:val="03F80CEA"/>
    <w:rsid w:val="041A1BF4"/>
    <w:rsid w:val="04F02772"/>
    <w:rsid w:val="076A49AB"/>
    <w:rsid w:val="08E75325"/>
    <w:rsid w:val="09066771"/>
    <w:rsid w:val="094F666A"/>
    <w:rsid w:val="0A242ABF"/>
    <w:rsid w:val="0A474B53"/>
    <w:rsid w:val="0AC253C9"/>
    <w:rsid w:val="0B907F82"/>
    <w:rsid w:val="0C5B5C79"/>
    <w:rsid w:val="0D0D6967"/>
    <w:rsid w:val="0D236648"/>
    <w:rsid w:val="0D946F68"/>
    <w:rsid w:val="0DB93B0A"/>
    <w:rsid w:val="0DD34156"/>
    <w:rsid w:val="0E1C214E"/>
    <w:rsid w:val="0F4D7DE5"/>
    <w:rsid w:val="115E01DA"/>
    <w:rsid w:val="12EB19AA"/>
    <w:rsid w:val="15B42303"/>
    <w:rsid w:val="165E1E54"/>
    <w:rsid w:val="16A86E0B"/>
    <w:rsid w:val="18AC5CCF"/>
    <w:rsid w:val="19550115"/>
    <w:rsid w:val="19862DC5"/>
    <w:rsid w:val="1C9D4FDA"/>
    <w:rsid w:val="1D8E4B92"/>
    <w:rsid w:val="211F0D93"/>
    <w:rsid w:val="217C6B87"/>
    <w:rsid w:val="222A5B02"/>
    <w:rsid w:val="22627A44"/>
    <w:rsid w:val="23122EC9"/>
    <w:rsid w:val="2330101E"/>
    <w:rsid w:val="25A65405"/>
    <w:rsid w:val="25DC635A"/>
    <w:rsid w:val="26556245"/>
    <w:rsid w:val="27A4270C"/>
    <w:rsid w:val="28D80AA0"/>
    <w:rsid w:val="28F60FCD"/>
    <w:rsid w:val="29DB807E"/>
    <w:rsid w:val="2B0100FD"/>
    <w:rsid w:val="2DA00542"/>
    <w:rsid w:val="2E0FE51D"/>
    <w:rsid w:val="2E3E4E4C"/>
    <w:rsid w:val="2F580D46"/>
    <w:rsid w:val="2FC3678B"/>
    <w:rsid w:val="305259F5"/>
    <w:rsid w:val="309C7EB6"/>
    <w:rsid w:val="31D73CC3"/>
    <w:rsid w:val="331D5C16"/>
    <w:rsid w:val="33B05639"/>
    <w:rsid w:val="33CB12A8"/>
    <w:rsid w:val="33EA1B1A"/>
    <w:rsid w:val="341C539C"/>
    <w:rsid w:val="35C44CB0"/>
    <w:rsid w:val="37051BE3"/>
    <w:rsid w:val="37A60062"/>
    <w:rsid w:val="38A23D5C"/>
    <w:rsid w:val="3914724D"/>
    <w:rsid w:val="3A3F0418"/>
    <w:rsid w:val="3C801367"/>
    <w:rsid w:val="3D7A429D"/>
    <w:rsid w:val="3D877383"/>
    <w:rsid w:val="3D9B483F"/>
    <w:rsid w:val="3E222B81"/>
    <w:rsid w:val="3FFDD39E"/>
    <w:rsid w:val="42B75591"/>
    <w:rsid w:val="42BA70B7"/>
    <w:rsid w:val="430450C5"/>
    <w:rsid w:val="43AB18DC"/>
    <w:rsid w:val="44187FAE"/>
    <w:rsid w:val="44EA7896"/>
    <w:rsid w:val="45A86A88"/>
    <w:rsid w:val="46C7290E"/>
    <w:rsid w:val="46E6412F"/>
    <w:rsid w:val="47885C79"/>
    <w:rsid w:val="48695F00"/>
    <w:rsid w:val="48C22822"/>
    <w:rsid w:val="49CD6A03"/>
    <w:rsid w:val="49FD623A"/>
    <w:rsid w:val="4A590CCC"/>
    <w:rsid w:val="4BC42AAF"/>
    <w:rsid w:val="4E3F023C"/>
    <w:rsid w:val="4E5E3A63"/>
    <w:rsid w:val="4E8A5B90"/>
    <w:rsid w:val="4EA7616C"/>
    <w:rsid w:val="4F1F6E71"/>
    <w:rsid w:val="4F4F2776"/>
    <w:rsid w:val="4FC03A74"/>
    <w:rsid w:val="4FCB2904"/>
    <w:rsid w:val="50553C92"/>
    <w:rsid w:val="52254AF2"/>
    <w:rsid w:val="538E2D0B"/>
    <w:rsid w:val="53942FFE"/>
    <w:rsid w:val="53E61ABA"/>
    <w:rsid w:val="549C0855"/>
    <w:rsid w:val="54C02294"/>
    <w:rsid w:val="55405A1E"/>
    <w:rsid w:val="574E60B9"/>
    <w:rsid w:val="57EFA28C"/>
    <w:rsid w:val="58532365"/>
    <w:rsid w:val="59A65848"/>
    <w:rsid w:val="5A7D18C9"/>
    <w:rsid w:val="5AB961CD"/>
    <w:rsid w:val="5BF612F8"/>
    <w:rsid w:val="5C4F7380"/>
    <w:rsid w:val="5CC14CCC"/>
    <w:rsid w:val="5D176E33"/>
    <w:rsid w:val="5D635F29"/>
    <w:rsid w:val="5FA42829"/>
    <w:rsid w:val="5FF1DC3E"/>
    <w:rsid w:val="61283DBE"/>
    <w:rsid w:val="628A6A51"/>
    <w:rsid w:val="63181564"/>
    <w:rsid w:val="63C95796"/>
    <w:rsid w:val="63EF0CEA"/>
    <w:rsid w:val="64E240A1"/>
    <w:rsid w:val="66F850DF"/>
    <w:rsid w:val="6763365A"/>
    <w:rsid w:val="684F3C7A"/>
    <w:rsid w:val="6A706DE0"/>
    <w:rsid w:val="6B4456C0"/>
    <w:rsid w:val="6BC87156"/>
    <w:rsid w:val="6C9F1038"/>
    <w:rsid w:val="6D6868F1"/>
    <w:rsid w:val="6DAA4478"/>
    <w:rsid w:val="6DDB1B0C"/>
    <w:rsid w:val="6DF56252"/>
    <w:rsid w:val="6E0576A6"/>
    <w:rsid w:val="6E1041E0"/>
    <w:rsid w:val="6E5648D3"/>
    <w:rsid w:val="6E80153A"/>
    <w:rsid w:val="6F1928EC"/>
    <w:rsid w:val="6FBFBC03"/>
    <w:rsid w:val="7260580F"/>
    <w:rsid w:val="72672C4C"/>
    <w:rsid w:val="734475D7"/>
    <w:rsid w:val="737E5413"/>
    <w:rsid w:val="74E36C14"/>
    <w:rsid w:val="75E34304"/>
    <w:rsid w:val="77082A0D"/>
    <w:rsid w:val="77756B2D"/>
    <w:rsid w:val="789227C4"/>
    <w:rsid w:val="79656B83"/>
    <w:rsid w:val="7B073F40"/>
    <w:rsid w:val="7CA2448D"/>
    <w:rsid w:val="7CAD0B17"/>
    <w:rsid w:val="7D170A24"/>
    <w:rsid w:val="7D7B7734"/>
    <w:rsid w:val="7D896B42"/>
    <w:rsid w:val="7E5F871E"/>
    <w:rsid w:val="7E7F44E2"/>
    <w:rsid w:val="7E961ABB"/>
    <w:rsid w:val="7ECA2F29"/>
    <w:rsid w:val="7EFC7E47"/>
    <w:rsid w:val="7FAE52D2"/>
    <w:rsid w:val="D66CFFA1"/>
    <w:rsid w:val="EB7F64DA"/>
    <w:rsid w:val="FAEBC03A"/>
    <w:rsid w:val="FF7A9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6"/>
    <w:basedOn w:val="1"/>
    <w:next w:val="1"/>
    <w:unhideWhenUsed/>
    <w:qFormat/>
    <w:uiPriority w:val="99"/>
    <w:pPr>
      <w:widowControl w:val="0"/>
      <w:ind w:left="2100"/>
      <w:jc w:val="both"/>
    </w:pPr>
    <w:rPr>
      <w:rFonts w:ascii="Calibri" w:hAnsi="Calibri" w:eastAsia="宋体" w:cs="Times New Roman"/>
      <w:kern w:val="2"/>
      <w:sz w:val="21"/>
      <w:szCs w:val="22"/>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outlineLvl w:val="0"/>
    </w:pPr>
    <w:rPr>
      <w:rFonts w:eastAsia="方正小标宋简体" w:cs="Arial"/>
      <w:bCs/>
      <w:sz w:val="40"/>
      <w:szCs w:val="32"/>
    </w:rPr>
  </w:style>
  <w:style w:type="paragraph" w:styleId="8">
    <w:name w:val="Body Text First Indent 2"/>
    <w:basedOn w:val="4"/>
    <w:unhideWhenUsed/>
    <w:qFormat/>
    <w:uiPriority w:val="99"/>
    <w:pPr>
      <w:spacing w:after="0" w:line="560" w:lineRule="exact"/>
      <w:ind w:left="561" w:leftChars="0" w:firstLine="880" w:firstLineChars="200"/>
    </w:pPr>
    <w:rPr>
      <w:rFonts w:ascii="幼圆" w:hAnsi="幼圆" w:eastAsia="仿宋_GB2312"/>
      <w:sz w:val="32"/>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7906</Words>
  <Characters>8288</Characters>
  <Lines>0</Lines>
  <Paragraphs>0</Paragraphs>
  <TotalTime>62</TotalTime>
  <ScaleCrop>false</ScaleCrop>
  <LinksUpToDate>false</LinksUpToDate>
  <CharactersWithSpaces>8345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2020-01-08T11:26:00Z</dcterms:created>
  <dc:creator>小龙偶吧</dc:creator>
  <cp:lastModifiedBy>lang123</cp:lastModifiedBy>
  <dcterms:modified xsi:type="dcterms:W3CDTF">2025-09-09T16:43:59Z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4C3BAA81E6684C1F8DFDABF6F5FBB2F8_12</vt:lpwstr>
  </property>
  <property fmtid="{D5CDD505-2E9C-101B-9397-08002B2CF9AE}" pid="4" name="KSOTemplateDocerSaveRecord">
    <vt:lpwstr>eyJoZGlkIjoiN2I3YWQyMzc0OTBmZDcwMjlkNWY5OTg1OWNiOTY3YjQiLCJ1c2VySWQiOiI0MzgwODUxMjAifQ==</vt:lpwstr>
  </property>
</Properties>
</file>